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1276350</wp:posOffset>
            </wp:positionH>
            <wp:positionV relativeFrom="page">
              <wp:posOffset>3075940</wp:posOffset>
            </wp:positionV>
            <wp:extent cx="5216525" cy="1517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216525" cy="1517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2025 Annual Report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-109220</wp:posOffset>
                </wp:positionH>
                <wp:positionV relativeFrom="paragraph">
                  <wp:posOffset>339090</wp:posOffset>
                </wp:positionV>
                <wp:extent cx="616204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04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999pt,26.7pt" to="476.6pt,26.7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-109220</wp:posOffset>
                </wp:positionH>
                <wp:positionV relativeFrom="paragraph">
                  <wp:posOffset>321310</wp:posOffset>
                </wp:positionV>
                <wp:extent cx="61620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04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999pt,25.3pt" to="476.6pt,25.3pt" o:allowincell="f" strokecolor="#000000" strokeweight="0.72pt"/>
            </w:pict>
          </mc:Fallback>
        </mc:AlternateContent>
      </w:r>
    </w:p>
    <w:p>
      <w:pPr>
        <w:sectPr>
          <w:pgSz w:w="12240" w:h="15840" w:orient="portrait"/>
          <w:cols w:equalWidth="0" w:num="1">
            <w:col w:w="936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4"/>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80" w:type="dxa"/>
            <w:vAlign w:val="bottom"/>
          </w:tcPr>
          <w:p>
            <w:pPr>
              <w:ind w:left="2920"/>
              <w:spacing w:after="0"/>
              <w:rPr>
                <w:sz w:val="20"/>
                <w:szCs w:val="20"/>
                <w:color w:val="auto"/>
              </w:rPr>
            </w:pPr>
            <w:r>
              <w:rPr>
                <w:rFonts w:ascii="Arial" w:cs="Arial" w:eastAsia="Arial" w:hAnsi="Arial"/>
                <w:sz w:val="20"/>
                <w:szCs w:val="20"/>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0" w:type="dxa"/>
            <w:vAlign w:val="bottom"/>
            <w:vMerge w:val="restart"/>
          </w:tcPr>
          <w:p>
            <w:pPr>
              <w:spacing w:after="0"/>
              <w:rPr>
                <w:sz w:val="20"/>
                <w:szCs w:val="20"/>
                <w:color w:val="auto"/>
              </w:rPr>
            </w:pPr>
            <w:r>
              <w:rPr>
                <w:rFonts w:ascii="Arial" w:cs="Arial" w:eastAsia="Arial" w:hAnsi="Arial"/>
                <w:sz w:val="20"/>
                <w:szCs w:val="20"/>
                <w:b w:val="1"/>
                <w:bCs w:val="1"/>
                <w:color w:val="auto"/>
                <w:w w:val="97"/>
              </w:rPr>
              <w:t>PART I</w:t>
            </w:r>
          </w:p>
        </w:tc>
        <w:tc>
          <w:tcPr>
            <w:tcW w:w="260" w:type="dxa"/>
            <w:vAlign w:val="bottom"/>
            <w:gridSpan w:val="3"/>
            <w:vMerge w:val="restart"/>
          </w:tcPr>
          <w:p>
            <w:pPr>
              <w:spacing w:after="0"/>
              <w:rPr>
                <w:sz w:val="24"/>
                <w:szCs w:val="24"/>
                <w:color w:val="auto"/>
              </w:rPr>
            </w:pPr>
          </w:p>
        </w:tc>
        <w:tc>
          <w:tcPr>
            <w:tcW w:w="7780" w:type="dxa"/>
            <w:vAlign w:val="bottom"/>
          </w:tcPr>
          <w:p>
            <w:pPr>
              <w:spacing w:after="0"/>
              <w:rPr>
                <w:sz w:val="24"/>
                <w:szCs w:val="2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5"/>
        </w:trPr>
        <w:tc>
          <w:tcPr>
            <w:tcW w:w="660" w:type="dxa"/>
            <w:vAlign w:val="bottom"/>
            <w:tcBorders>
              <w:bottom w:val="single" w:sz="8" w:color="auto"/>
            </w:tcBorders>
            <w:vMerge w:val="continue"/>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7780" w:type="dxa"/>
            <w:vAlign w:val="bottom"/>
            <w:vMerge w:val="restart"/>
          </w:tcPr>
          <w:p>
            <w:pPr>
              <w:ind w:left="20"/>
              <w:spacing w:after="0"/>
              <w:rPr>
                <w:sz w:val="20"/>
                <w:szCs w:val="20"/>
                <w:color w:val="auto"/>
              </w:rPr>
            </w:pPr>
            <w:r>
              <w:rPr>
                <w:rFonts w:ascii="Arial" w:cs="Arial" w:eastAsia="Arial" w:hAnsi="Arial"/>
                <w:sz w:val="20"/>
                <w:szCs w:val="20"/>
                <w:color w:val="auto"/>
              </w:rPr>
              <w:t>Business</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w:t>
            </w:r>
          </w:p>
        </w:tc>
        <w:tc>
          <w:tcPr>
            <w:tcW w:w="77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1A.</w:t>
            </w:r>
          </w:p>
        </w:tc>
        <w:tc>
          <w:tcPr>
            <w:tcW w:w="7780" w:type="dxa"/>
            <w:vAlign w:val="bottom"/>
          </w:tcPr>
          <w:p>
            <w:pPr>
              <w:ind w:left="20"/>
              <w:spacing w:after="0"/>
              <w:rPr>
                <w:sz w:val="20"/>
                <w:szCs w:val="20"/>
                <w:color w:val="auto"/>
              </w:rPr>
            </w:pPr>
            <w:r>
              <w:rPr>
                <w:rFonts w:ascii="Arial" w:cs="Arial" w:eastAsia="Arial" w:hAnsi="Arial"/>
                <w:sz w:val="20"/>
                <w:szCs w:val="20"/>
                <w:color w:val="auto"/>
              </w:rPr>
              <w:t>Risk Factors</w:t>
            </w:r>
          </w:p>
        </w:tc>
        <w:tc>
          <w:tcPr>
            <w:tcW w:w="6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1B.</w:t>
            </w:r>
          </w:p>
        </w:tc>
        <w:tc>
          <w:tcPr>
            <w:tcW w:w="7780" w:type="dxa"/>
            <w:vAlign w:val="bottom"/>
          </w:tcPr>
          <w:p>
            <w:pPr>
              <w:ind w:left="20"/>
              <w:spacing w:after="0"/>
              <w:rPr>
                <w:sz w:val="20"/>
                <w:szCs w:val="20"/>
                <w:color w:val="auto"/>
              </w:rPr>
            </w:pPr>
            <w:r>
              <w:rPr>
                <w:rFonts w:ascii="Arial" w:cs="Arial" w:eastAsia="Arial" w:hAnsi="Arial"/>
                <w:sz w:val="20"/>
                <w:szCs w:val="20"/>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1C.</w:t>
            </w:r>
          </w:p>
        </w:tc>
        <w:tc>
          <w:tcPr>
            <w:tcW w:w="7780" w:type="dxa"/>
            <w:vAlign w:val="bottom"/>
          </w:tcPr>
          <w:p>
            <w:pPr>
              <w:ind w:left="20"/>
              <w:spacing w:after="0"/>
              <w:rPr>
                <w:sz w:val="20"/>
                <w:szCs w:val="20"/>
                <w:color w:val="auto"/>
              </w:rPr>
            </w:pPr>
            <w:r>
              <w:rPr>
                <w:rFonts w:ascii="Arial" w:cs="Arial" w:eastAsia="Arial" w:hAnsi="Arial"/>
                <w:sz w:val="20"/>
                <w:szCs w:val="20"/>
                <w:color w:val="auto"/>
              </w:rPr>
              <w:t>Cybersecurity</w:t>
            </w:r>
          </w:p>
        </w:tc>
        <w:tc>
          <w:tcPr>
            <w:tcW w:w="66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2.</w:t>
            </w:r>
          </w:p>
        </w:tc>
        <w:tc>
          <w:tcPr>
            <w:tcW w:w="7780" w:type="dxa"/>
            <w:vAlign w:val="bottom"/>
          </w:tcPr>
          <w:p>
            <w:pPr>
              <w:ind w:left="20"/>
              <w:spacing w:after="0"/>
              <w:rPr>
                <w:sz w:val="20"/>
                <w:szCs w:val="20"/>
                <w:color w:val="auto"/>
              </w:rPr>
            </w:pPr>
            <w:r>
              <w:rPr>
                <w:rFonts w:ascii="Arial" w:cs="Arial" w:eastAsia="Arial" w:hAnsi="Arial"/>
                <w:sz w:val="20"/>
                <w:szCs w:val="20"/>
                <w:color w:val="auto"/>
              </w:rPr>
              <w:t>Properties</w:t>
            </w:r>
          </w:p>
        </w:tc>
        <w:tc>
          <w:tcPr>
            <w:tcW w:w="66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3.</w:t>
            </w:r>
          </w:p>
        </w:tc>
        <w:tc>
          <w:tcPr>
            <w:tcW w:w="7780" w:type="dxa"/>
            <w:vAlign w:val="bottom"/>
          </w:tcPr>
          <w:p>
            <w:pPr>
              <w:ind w:left="20"/>
              <w:spacing w:after="0"/>
              <w:rPr>
                <w:sz w:val="20"/>
                <w:szCs w:val="20"/>
                <w:color w:val="auto"/>
              </w:rPr>
            </w:pPr>
            <w:r>
              <w:rPr>
                <w:rFonts w:ascii="Arial" w:cs="Arial" w:eastAsia="Arial" w:hAnsi="Arial"/>
                <w:sz w:val="20"/>
                <w:szCs w:val="20"/>
                <w:color w:val="auto"/>
              </w:rPr>
              <w:t>Legal Proceedings</w:t>
            </w:r>
          </w:p>
        </w:tc>
        <w:tc>
          <w:tcPr>
            <w:tcW w:w="66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7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4.</w:t>
            </w:r>
          </w:p>
        </w:tc>
        <w:tc>
          <w:tcPr>
            <w:tcW w:w="7780" w:type="dxa"/>
            <w:vAlign w:val="bottom"/>
          </w:tcPr>
          <w:p>
            <w:pPr>
              <w:ind w:left="20"/>
              <w:spacing w:after="0"/>
              <w:rPr>
                <w:sz w:val="20"/>
                <w:szCs w:val="20"/>
                <w:color w:val="auto"/>
              </w:rPr>
            </w:pPr>
            <w:r>
              <w:rPr>
                <w:rFonts w:ascii="Arial" w:cs="Arial" w:eastAsia="Arial" w:hAnsi="Arial"/>
                <w:sz w:val="20"/>
                <w:szCs w:val="20"/>
                <w:color w:val="auto"/>
              </w:rPr>
              <w:t>Mine Safety Disclosures</w:t>
            </w:r>
          </w:p>
        </w:tc>
        <w:tc>
          <w:tcPr>
            <w:tcW w:w="66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358"/>
        </w:trPr>
        <w:tc>
          <w:tcPr>
            <w:tcW w:w="920" w:type="dxa"/>
            <w:vAlign w:val="bottom"/>
            <w:gridSpan w:val="4"/>
          </w:tcPr>
          <w:p>
            <w:pPr>
              <w:spacing w:after="0"/>
              <w:rPr>
                <w:sz w:val="20"/>
                <w:szCs w:val="20"/>
                <w:color w:val="auto"/>
              </w:rPr>
            </w:pPr>
            <w:r>
              <w:rPr>
                <w:rFonts w:ascii="Arial" w:cs="Arial" w:eastAsia="Arial" w:hAnsi="Arial"/>
                <w:sz w:val="20"/>
                <w:szCs w:val="20"/>
                <w:b w:val="1"/>
                <w:bCs w:val="1"/>
                <w:color w:val="auto"/>
              </w:rPr>
              <w:t>PART II</w:t>
            </w:r>
          </w:p>
        </w:tc>
        <w:tc>
          <w:tcPr>
            <w:tcW w:w="7780" w:type="dxa"/>
            <w:vAlign w:val="bottom"/>
            <w:vMerge w:val="restart"/>
          </w:tcPr>
          <w:p>
            <w:pPr>
              <w:ind w:left="20"/>
              <w:spacing w:after="0"/>
              <w:rPr>
                <w:sz w:val="20"/>
                <w:szCs w:val="20"/>
                <w:color w:val="auto"/>
              </w:rPr>
            </w:pPr>
            <w:r>
              <w:rPr>
                <w:rFonts w:ascii="Arial" w:cs="Arial" w:eastAsia="Arial" w:hAnsi="Arial"/>
                <w:sz w:val="20"/>
                <w:szCs w:val="20"/>
                <w:color w:val="auto"/>
              </w:rPr>
              <w:t>Market for Registrant’s Common Equity, Related Stockholder Matters and Issuer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top w:val="single" w:sz="8" w:color="auto"/>
            </w:tcBorders>
            <w:gridSpan w:val="2"/>
          </w:tcPr>
          <w:p>
            <w:pPr>
              <w:ind w:left="140"/>
              <w:spacing w:after="0" w:line="226" w:lineRule="exact"/>
              <w:rPr>
                <w:sz w:val="20"/>
                <w:szCs w:val="20"/>
                <w:color w:val="auto"/>
              </w:rPr>
            </w:pPr>
            <w:r>
              <w:rPr>
                <w:rFonts w:ascii="Arial" w:cs="Arial" w:eastAsia="Arial" w:hAnsi="Arial"/>
                <w:sz w:val="20"/>
                <w:szCs w:val="20"/>
                <w:color w:val="auto"/>
                <w:w w:val="91"/>
              </w:rPr>
              <w:t>Item 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Purchases of Equity Securities</w:t>
            </w:r>
          </w:p>
        </w:tc>
        <w:tc>
          <w:tcPr>
            <w:tcW w:w="66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6.</w:t>
            </w:r>
          </w:p>
        </w:tc>
        <w:tc>
          <w:tcPr>
            <w:tcW w:w="7780" w:type="dxa"/>
            <w:vAlign w:val="bottom"/>
          </w:tcPr>
          <w:p>
            <w:pPr>
              <w:ind w:left="20"/>
              <w:spacing w:after="0"/>
              <w:rPr>
                <w:sz w:val="20"/>
                <w:szCs w:val="20"/>
                <w:color w:val="auto"/>
              </w:rPr>
            </w:pPr>
            <w:r>
              <w:rPr>
                <w:rFonts w:ascii="Arial" w:cs="Arial" w:eastAsia="Arial" w:hAnsi="Arial"/>
                <w:sz w:val="20"/>
                <w:szCs w:val="20"/>
                <w:color w:val="auto"/>
              </w:rPr>
              <w:t>[Reserved]</w:t>
            </w:r>
          </w:p>
        </w:tc>
        <w:tc>
          <w:tcPr>
            <w:tcW w:w="66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3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7.</w:t>
            </w:r>
          </w:p>
        </w:tc>
        <w:tc>
          <w:tcPr>
            <w:tcW w:w="7780" w:type="dxa"/>
            <w:vAlign w:val="bottom"/>
          </w:tcPr>
          <w:p>
            <w:pPr>
              <w:ind w:left="20"/>
              <w:spacing w:after="0"/>
              <w:rPr>
                <w:sz w:val="20"/>
                <w:szCs w:val="20"/>
                <w:color w:val="auto"/>
              </w:rPr>
            </w:pPr>
            <w:r>
              <w:rPr>
                <w:rFonts w:ascii="Arial" w:cs="Arial" w:eastAsia="Arial" w:hAnsi="Arial"/>
                <w:sz w:val="20"/>
                <w:szCs w:val="20"/>
                <w:color w:val="auto"/>
              </w:rPr>
              <w:t>Management’s Discussion and Analysis of Financial Condition and Results of</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Operations</w:t>
            </w:r>
          </w:p>
        </w:tc>
        <w:tc>
          <w:tcPr>
            <w:tcW w:w="66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7A.</w:t>
            </w:r>
          </w:p>
        </w:tc>
        <w:tc>
          <w:tcPr>
            <w:tcW w:w="7780" w:type="dxa"/>
            <w:vAlign w:val="bottom"/>
          </w:tcPr>
          <w:p>
            <w:pPr>
              <w:ind w:left="20"/>
              <w:spacing w:after="0"/>
              <w:rPr>
                <w:sz w:val="20"/>
                <w:szCs w:val="20"/>
                <w:color w:val="auto"/>
              </w:rPr>
            </w:pPr>
            <w:r>
              <w:rPr>
                <w:rFonts w:ascii="Arial" w:cs="Arial" w:eastAsia="Arial" w:hAnsi="Arial"/>
                <w:sz w:val="20"/>
                <w:szCs w:val="20"/>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8.</w:t>
            </w:r>
          </w:p>
        </w:tc>
        <w:tc>
          <w:tcPr>
            <w:tcW w:w="7780" w:type="dxa"/>
            <w:vAlign w:val="bottom"/>
          </w:tcPr>
          <w:p>
            <w:pPr>
              <w:ind w:left="20"/>
              <w:spacing w:after="0"/>
              <w:rPr>
                <w:sz w:val="20"/>
                <w:szCs w:val="20"/>
                <w:color w:val="auto"/>
              </w:rPr>
            </w:pPr>
            <w:r>
              <w:rPr>
                <w:rFonts w:ascii="Arial" w:cs="Arial" w:eastAsia="Arial" w:hAnsi="Arial"/>
                <w:sz w:val="20"/>
                <w:szCs w:val="20"/>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3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9.</w:t>
            </w:r>
          </w:p>
        </w:tc>
        <w:tc>
          <w:tcPr>
            <w:tcW w:w="7780" w:type="dxa"/>
            <w:vAlign w:val="bottom"/>
          </w:tcPr>
          <w:p>
            <w:pPr>
              <w:ind w:left="20"/>
              <w:spacing w:after="0"/>
              <w:rPr>
                <w:sz w:val="20"/>
                <w:szCs w:val="20"/>
                <w:color w:val="auto"/>
              </w:rPr>
            </w:pPr>
            <w:r>
              <w:rPr>
                <w:rFonts w:ascii="Arial" w:cs="Arial" w:eastAsia="Arial" w:hAnsi="Arial"/>
                <w:sz w:val="20"/>
                <w:szCs w:val="20"/>
                <w:color w:val="auto"/>
              </w:rPr>
              <w:t>Changes in and Disagreements with Accountants on Accounting and Financial</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Disclosure.</w:t>
            </w:r>
          </w:p>
        </w:tc>
        <w:tc>
          <w:tcPr>
            <w:tcW w:w="660" w:type="dxa"/>
            <w:vAlign w:val="bottom"/>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9A.</w:t>
            </w:r>
          </w:p>
        </w:tc>
        <w:tc>
          <w:tcPr>
            <w:tcW w:w="7780" w:type="dxa"/>
            <w:vAlign w:val="bottom"/>
          </w:tcPr>
          <w:p>
            <w:pPr>
              <w:ind w:left="20"/>
              <w:spacing w:after="0"/>
              <w:rPr>
                <w:sz w:val="20"/>
                <w:szCs w:val="20"/>
                <w:color w:val="auto"/>
              </w:rPr>
            </w:pPr>
            <w:r>
              <w:rPr>
                <w:rFonts w:ascii="Arial" w:cs="Arial" w:eastAsia="Arial" w:hAnsi="Arial"/>
                <w:sz w:val="20"/>
                <w:szCs w:val="20"/>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9B.</w:t>
            </w:r>
          </w:p>
        </w:tc>
        <w:tc>
          <w:tcPr>
            <w:tcW w:w="7780" w:type="dxa"/>
            <w:vAlign w:val="bottom"/>
          </w:tcPr>
          <w:p>
            <w:pPr>
              <w:ind w:left="20"/>
              <w:spacing w:after="0"/>
              <w:rPr>
                <w:sz w:val="20"/>
                <w:szCs w:val="20"/>
                <w:color w:val="auto"/>
              </w:rPr>
            </w:pPr>
            <w:r>
              <w:rPr>
                <w:rFonts w:ascii="Arial" w:cs="Arial" w:eastAsia="Arial" w:hAnsi="Arial"/>
                <w:sz w:val="20"/>
                <w:szCs w:val="20"/>
                <w:color w:val="auto"/>
              </w:rPr>
              <w:t>Other Information</w:t>
            </w:r>
          </w:p>
        </w:tc>
        <w:tc>
          <w:tcPr>
            <w:tcW w:w="660" w:type="dxa"/>
            <w:vAlign w:val="bottom"/>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7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9C.</w:t>
            </w:r>
          </w:p>
        </w:tc>
        <w:tc>
          <w:tcPr>
            <w:tcW w:w="7780" w:type="dxa"/>
            <w:vAlign w:val="bottom"/>
          </w:tcPr>
          <w:p>
            <w:pPr>
              <w:ind w:left="2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356"/>
        </w:trPr>
        <w:tc>
          <w:tcPr>
            <w:tcW w:w="920" w:type="dxa"/>
            <w:vAlign w:val="bottom"/>
            <w:gridSpan w:val="4"/>
          </w:tcPr>
          <w:p>
            <w:pPr>
              <w:spacing w:after="0"/>
              <w:rPr>
                <w:sz w:val="20"/>
                <w:szCs w:val="20"/>
                <w:color w:val="auto"/>
              </w:rPr>
            </w:pPr>
            <w:r>
              <w:rPr>
                <w:rFonts w:ascii="Arial" w:cs="Arial" w:eastAsia="Arial" w:hAnsi="Arial"/>
                <w:sz w:val="20"/>
                <w:szCs w:val="20"/>
                <w:b w:val="1"/>
                <w:bCs w:val="1"/>
                <w:color w:val="auto"/>
              </w:rPr>
              <w:t>PART III</w:t>
            </w:r>
          </w:p>
        </w:tc>
        <w:tc>
          <w:tcPr>
            <w:tcW w:w="7780" w:type="dxa"/>
            <w:vAlign w:val="bottom"/>
            <w:vMerge w:val="restart"/>
          </w:tcPr>
          <w:p>
            <w:pPr>
              <w:ind w:left="20"/>
              <w:spacing w:after="0"/>
              <w:rPr>
                <w:sz w:val="20"/>
                <w:szCs w:val="20"/>
                <w:color w:val="auto"/>
              </w:rPr>
            </w:pPr>
            <w:r>
              <w:rPr>
                <w:rFonts w:ascii="Arial" w:cs="Arial" w:eastAsia="Arial" w:hAnsi="Arial"/>
                <w:sz w:val="20"/>
                <w:szCs w:val="20"/>
                <w:color w:val="auto"/>
              </w:rPr>
              <w:t>Directors, Executive Officers and Corporate Governance</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22"/>
        </w:trPr>
        <w:tc>
          <w:tcPr>
            <w:tcW w:w="7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8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10.</w:t>
            </w:r>
          </w:p>
        </w:tc>
        <w:tc>
          <w:tcPr>
            <w:tcW w:w="77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11.</w:t>
            </w:r>
          </w:p>
        </w:tc>
        <w:tc>
          <w:tcPr>
            <w:tcW w:w="7780" w:type="dxa"/>
            <w:vAlign w:val="bottom"/>
          </w:tcPr>
          <w:p>
            <w:pPr>
              <w:ind w:left="20"/>
              <w:spacing w:after="0"/>
              <w:rPr>
                <w:sz w:val="20"/>
                <w:szCs w:val="20"/>
                <w:color w:val="auto"/>
              </w:rPr>
            </w:pPr>
            <w:r>
              <w:rPr>
                <w:rFonts w:ascii="Arial" w:cs="Arial" w:eastAsia="Arial" w:hAnsi="Arial"/>
                <w:sz w:val="20"/>
                <w:szCs w:val="20"/>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23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12.</w:t>
            </w:r>
          </w:p>
        </w:tc>
        <w:tc>
          <w:tcPr>
            <w:tcW w:w="7780" w:type="dxa"/>
            <w:vAlign w:val="bottom"/>
          </w:tcPr>
          <w:p>
            <w:pPr>
              <w:ind w:left="20"/>
              <w:spacing w:after="0"/>
              <w:rPr>
                <w:sz w:val="20"/>
                <w:szCs w:val="20"/>
                <w:color w:val="auto"/>
              </w:rPr>
            </w:pPr>
            <w:r>
              <w:rPr>
                <w:rFonts w:ascii="Arial" w:cs="Arial" w:eastAsia="Arial" w:hAnsi="Arial"/>
                <w:sz w:val="20"/>
                <w:szCs w:val="20"/>
                <w:color w:val="auto"/>
              </w:rPr>
              <w:t>Security Ownership of Certain Beneficial Owners and Management and Related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20"/>
                <w:szCs w:val="20"/>
                <w:color w:val="auto"/>
              </w:rPr>
              <w:t>Stockholder Matters</w:t>
            </w:r>
          </w:p>
        </w:tc>
        <w:tc>
          <w:tcPr>
            <w:tcW w:w="660" w:type="dxa"/>
            <w:vAlign w:val="bottom"/>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245"/>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13.</w:t>
            </w:r>
          </w:p>
        </w:tc>
        <w:tc>
          <w:tcPr>
            <w:tcW w:w="7780" w:type="dxa"/>
            <w:vAlign w:val="bottom"/>
          </w:tcPr>
          <w:p>
            <w:pPr>
              <w:ind w:left="2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70"/>
        </w:trPr>
        <w:tc>
          <w:tcPr>
            <w:tcW w:w="920" w:type="dxa"/>
            <w:vAlign w:val="bottom"/>
            <w:gridSpan w:val="4"/>
          </w:tcPr>
          <w:p>
            <w:pPr>
              <w:ind w:left="140"/>
              <w:spacing w:after="0"/>
              <w:rPr>
                <w:sz w:val="20"/>
                <w:szCs w:val="20"/>
                <w:color w:val="auto"/>
              </w:rPr>
            </w:pPr>
            <w:r>
              <w:rPr>
                <w:rFonts w:ascii="Arial" w:cs="Arial" w:eastAsia="Arial" w:hAnsi="Arial"/>
                <w:sz w:val="20"/>
                <w:szCs w:val="20"/>
                <w:color w:val="auto"/>
              </w:rPr>
              <w:t>Item 14.</w:t>
            </w:r>
          </w:p>
        </w:tc>
        <w:tc>
          <w:tcPr>
            <w:tcW w:w="7780" w:type="dxa"/>
            <w:vAlign w:val="bottom"/>
          </w:tcPr>
          <w:p>
            <w:pPr>
              <w:ind w:left="20"/>
              <w:spacing w:after="0"/>
              <w:rPr>
                <w:sz w:val="20"/>
                <w:szCs w:val="20"/>
                <w:color w:val="auto"/>
              </w:rPr>
            </w:pPr>
            <w:r>
              <w:rPr>
                <w:rFonts w:ascii="Arial" w:cs="Arial" w:eastAsia="Arial" w:hAnsi="Arial"/>
                <w:sz w:val="20"/>
                <w:szCs w:val="20"/>
                <w:color w:val="auto"/>
              </w:rPr>
              <w:t>Principal Accountant Fees and Services</w:t>
            </w:r>
          </w:p>
        </w:tc>
        <w:tc>
          <w:tcPr>
            <w:tcW w:w="660" w:type="dxa"/>
            <w:vAlign w:val="bottom"/>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2240" w:h="15840" w:orient="portrait"/>
          <w:cols w:equalWidth="0" w:num="1">
            <w:col w:w="9360"/>
          </w:cols>
          <w:pgMar w:left="1440" w:top="1416" w:right="1440" w:bottom="163"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RISK FACTOR SUMMARY</w:t>
      </w:r>
    </w:p>
    <w:p>
      <w:pPr>
        <w:spacing w:after="0" w:line="240" w:lineRule="exact"/>
        <w:rPr>
          <w:sz w:val="20"/>
          <w:szCs w:val="20"/>
          <w:color w:val="auto"/>
        </w:rPr>
      </w:pPr>
    </w:p>
    <w:p>
      <w:pPr>
        <w:ind w:right="60" w:firstLine="547"/>
        <w:spacing w:after="0" w:line="262" w:lineRule="auto"/>
        <w:rPr>
          <w:sz w:val="20"/>
          <w:szCs w:val="20"/>
          <w:color w:val="auto"/>
        </w:rPr>
      </w:pPr>
      <w:r>
        <w:rPr>
          <w:rFonts w:ascii="Arial" w:cs="Arial" w:eastAsia="Arial" w:hAnsi="Arial"/>
          <w:sz w:val="19"/>
          <w:szCs w:val="19"/>
          <w:i w:val="1"/>
          <w:iCs w:val="1"/>
          <w:color w:val="auto"/>
        </w:rPr>
        <w:t xml:space="preserve">Unless otherwise stated or the context otherwise indicates, references to the “Company”, “we”, “our”, “us” or similar terms refer to Compass Therapeutics, Inc. (formerly named Olivia Ventures, Inc.) together with its wholly-owned subsidiaries, including Compass Therapeutics LLC, Trigr Therapeutics, Inc. </w:t>
      </w:r>
      <w:r>
        <w:rPr>
          <w:rFonts w:ascii="Arial" w:cs="Arial" w:eastAsia="Arial" w:hAnsi="Arial"/>
          <w:sz w:val="19"/>
          <w:szCs w:val="19"/>
          <w:color w:val="auto"/>
        </w:rPr>
        <w:t>, Compass Acquisition Company, LLC,</w:t>
      </w:r>
      <w:r>
        <w:rPr>
          <w:rFonts w:ascii="Arial" w:cs="Arial" w:eastAsia="Arial" w:hAnsi="Arial"/>
          <w:sz w:val="19"/>
          <w:szCs w:val="19"/>
          <w:i w:val="1"/>
          <w:iCs w:val="1"/>
          <w:color w:val="auto"/>
        </w:rPr>
        <w:t xml:space="preserve"> and Compass Therapeutics Securities Corporation, which we refer to as Compass Therapeutics. Our business is subject to numerous risks and uncertainties, including those described in Item 1A “Risk Factors”. These risk factors include, but are not limited to the following:</w:t>
      </w:r>
    </w:p>
    <w:p>
      <w:pPr>
        <w:spacing w:after="0" w:line="181" w:lineRule="exact"/>
        <w:rPr>
          <w:sz w:val="20"/>
          <w:szCs w:val="20"/>
          <w:color w:val="auto"/>
        </w:rPr>
      </w:pPr>
    </w:p>
    <w:p>
      <w:pPr>
        <w:ind w:left="720" w:right="280" w:hanging="360"/>
        <w:spacing w:after="0" w:line="261"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61" w:lineRule="exact"/>
        <w:rPr>
          <w:rFonts w:ascii="Arial" w:cs="Arial" w:eastAsia="Arial" w:hAnsi="Arial"/>
          <w:sz w:val="20"/>
          <w:szCs w:val="20"/>
          <w:color w:val="auto"/>
        </w:rPr>
      </w:pPr>
    </w:p>
    <w:p>
      <w:pPr>
        <w:ind w:left="720" w:hanging="360"/>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have never generated revenue from product sales and may never be profitable.</w:t>
      </w:r>
    </w:p>
    <w:p>
      <w:pPr>
        <w:spacing w:after="0" w:line="120" w:lineRule="exact"/>
        <w:rPr>
          <w:rFonts w:ascii="Arial" w:cs="Arial" w:eastAsia="Arial" w:hAnsi="Arial"/>
          <w:sz w:val="20"/>
          <w:szCs w:val="20"/>
          <w:color w:val="auto"/>
        </w:rPr>
      </w:pPr>
    </w:p>
    <w:p>
      <w:pPr>
        <w:ind w:left="720" w:right="60" w:hanging="360"/>
        <w:spacing w:after="0" w:line="253"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69" w:lineRule="exact"/>
        <w:rPr>
          <w:rFonts w:ascii="Arial" w:cs="Arial" w:eastAsia="Arial" w:hAnsi="Arial"/>
          <w:sz w:val="20"/>
          <w:szCs w:val="20"/>
          <w:color w:val="auto"/>
        </w:rPr>
      </w:pPr>
    </w:p>
    <w:p>
      <w:pPr>
        <w:ind w:left="720" w:hanging="360"/>
        <w:spacing w:after="0" w:line="261"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61" w:lineRule="exact"/>
        <w:rPr>
          <w:rFonts w:ascii="Arial" w:cs="Arial" w:eastAsia="Arial" w:hAnsi="Arial"/>
          <w:sz w:val="20"/>
          <w:szCs w:val="20"/>
          <w:color w:val="auto"/>
        </w:rPr>
      </w:pPr>
    </w:p>
    <w:p>
      <w:pPr>
        <w:jc w:val="both"/>
        <w:ind w:left="720" w:right="440" w:hanging="360"/>
        <w:spacing w:after="0" w:line="260"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61" w:lineRule="exact"/>
        <w:rPr>
          <w:rFonts w:ascii="Arial" w:cs="Arial" w:eastAsia="Arial" w:hAnsi="Arial"/>
          <w:sz w:val="20"/>
          <w:szCs w:val="20"/>
          <w:color w:val="auto"/>
        </w:rPr>
      </w:pPr>
    </w:p>
    <w:p>
      <w:pPr>
        <w:ind w:left="720" w:right="220" w:hanging="360"/>
        <w:spacing w:after="0" w:line="254"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regulatory approval processes of the U.S. Food and Drug Administration (“FDA”) and comparable foreign authorities are lengthy, time-consuming and inherently unpredictable, and if we are ultimately unable to obtain regulatory approval for our product candidates, our business will be materially harmed.</w:t>
      </w:r>
    </w:p>
    <w:p>
      <w:pPr>
        <w:spacing w:after="0" w:line="65" w:lineRule="exact"/>
        <w:rPr>
          <w:rFonts w:ascii="Arial" w:cs="Arial" w:eastAsia="Arial" w:hAnsi="Arial"/>
          <w:sz w:val="20"/>
          <w:szCs w:val="20"/>
          <w:color w:val="auto"/>
        </w:rPr>
      </w:pPr>
    </w:p>
    <w:p>
      <w:pPr>
        <w:ind w:left="720" w:right="260" w:hanging="360"/>
        <w:spacing w:after="0" w:line="261"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61" w:lineRule="exact"/>
        <w:rPr>
          <w:rFonts w:ascii="Arial" w:cs="Arial" w:eastAsia="Arial" w:hAnsi="Arial"/>
          <w:sz w:val="20"/>
          <w:szCs w:val="20"/>
          <w:color w:val="auto"/>
        </w:rPr>
      </w:pPr>
    </w:p>
    <w:p>
      <w:pPr>
        <w:ind w:left="720" w:right="80" w:hanging="360"/>
        <w:spacing w:after="0" w:line="248"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74" w:lineRule="exact"/>
        <w:rPr>
          <w:rFonts w:ascii="Arial" w:cs="Arial" w:eastAsia="Arial" w:hAnsi="Arial"/>
          <w:sz w:val="20"/>
          <w:szCs w:val="20"/>
          <w:color w:val="auto"/>
        </w:rPr>
      </w:pPr>
    </w:p>
    <w:p>
      <w:pPr>
        <w:ind w:left="720" w:right="220" w:hanging="361"/>
        <w:spacing w:after="0" w:line="253"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69" w:lineRule="exact"/>
        <w:rPr>
          <w:rFonts w:ascii="Arial" w:cs="Arial" w:eastAsia="Arial" w:hAnsi="Arial"/>
          <w:sz w:val="20"/>
          <w:szCs w:val="20"/>
          <w:color w:val="auto"/>
        </w:rPr>
      </w:pPr>
    </w:p>
    <w:p>
      <w:pPr>
        <w:ind w:left="720" w:right="260" w:hanging="361"/>
        <w:spacing w:after="0" w:line="310" w:lineRule="auto"/>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color w:val="auto"/>
        </w:rPr>
        <w:t>Others may claim an ownership interest in our intellectual property and our product candidates, which could expose us to litigation and have a significant adverse effect on our prospects.</w:t>
      </w:r>
    </w:p>
    <w:p>
      <w:pPr>
        <w:spacing w:after="0" w:line="16" w:lineRule="exact"/>
        <w:rPr>
          <w:rFonts w:ascii="Arial" w:cs="Arial" w:eastAsia="Arial" w:hAnsi="Arial"/>
          <w:sz w:val="19"/>
          <w:szCs w:val="19"/>
          <w:color w:val="auto"/>
        </w:rPr>
      </w:pPr>
    </w:p>
    <w:p>
      <w:pPr>
        <w:ind w:left="720" w:right="120" w:hanging="361"/>
        <w:spacing w:after="0" w:line="250"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72" w:lineRule="exact"/>
        <w:rPr>
          <w:rFonts w:ascii="Arial" w:cs="Arial" w:eastAsia="Arial" w:hAnsi="Arial"/>
          <w:sz w:val="20"/>
          <w:szCs w:val="20"/>
          <w:color w:val="auto"/>
        </w:rPr>
      </w:pPr>
    </w:p>
    <w:p>
      <w:pPr>
        <w:ind w:left="720" w:right="200" w:hanging="361"/>
        <w:spacing w:after="0" w:line="282"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Because we do not anticipate paying any cash dividends on our capital stock in the foreseeable future, capital appreciation, if any, will be your sole source of gain.</w:t>
      </w:r>
    </w:p>
    <w:p>
      <w:pPr>
        <w:spacing w:after="0" w:line="38" w:lineRule="exact"/>
        <w:rPr>
          <w:rFonts w:ascii="Arial" w:cs="Arial" w:eastAsia="Arial" w:hAnsi="Arial"/>
          <w:sz w:val="20"/>
          <w:szCs w:val="20"/>
          <w:color w:val="auto"/>
        </w:rPr>
      </w:pPr>
    </w:p>
    <w:p>
      <w:pPr>
        <w:ind w:left="720" w:right="20" w:hanging="361"/>
        <w:spacing w:after="0" w:line="282"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face significant competition from other biotechnology and pharmaceutical companies, and our operating results will suffer if we fail to compete effectively.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9360"/>
          </w:cols>
          <w:pgMar w:left="1440" w:top="1224" w:right="1440" w:bottom="161" w:gutter="0" w:footer="0" w:header="0"/>
        </w:sectPr>
      </w:pPr>
    </w:p>
    <w:bookmarkStart w:id="4" w:name="page5"/>
    <w:bookmarkEnd w:id="4"/>
    <w:p>
      <w:pPr>
        <w:ind w:left="1800"/>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44"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This Annual Report on Form 10-K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6" w:lineRule="exact"/>
        <w:rPr>
          <w:sz w:val="20"/>
          <w:szCs w:val="20"/>
          <w:color w:val="auto"/>
        </w:rPr>
      </w:pPr>
    </w:p>
    <w:p>
      <w:pPr>
        <w:ind w:right="80" w:firstLine="490"/>
        <w:spacing w:after="0" w:line="272" w:lineRule="auto"/>
        <w:rPr>
          <w:sz w:val="20"/>
          <w:szCs w:val="20"/>
          <w:color w:val="auto"/>
        </w:rPr>
      </w:pPr>
      <w:r>
        <w:rPr>
          <w:rFonts w:ascii="Arial" w:cs="Arial" w:eastAsia="Arial" w:hAnsi="Arial"/>
          <w:sz w:val="19"/>
          <w:szCs w:val="19"/>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w:t>
      </w:r>
    </w:p>
    <w:p>
      <w:pPr>
        <w:spacing w:after="0" w:line="160" w:lineRule="exact"/>
        <w:rPr>
          <w:sz w:val="20"/>
          <w:szCs w:val="20"/>
          <w:color w:val="auto"/>
        </w:rPr>
      </w:pPr>
    </w:p>
    <w:p>
      <w:pPr>
        <w:ind w:left="720" w:right="240" w:hanging="360"/>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ability of our clinical trials to demonstrate safety and efficacy of our product candidates, and other positive results;</w:t>
      </w:r>
    </w:p>
    <w:p>
      <w:pPr>
        <w:spacing w:after="0" w:line="4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timing and focus of our future clinical trials, and the reporting of data from those trials;</w:t>
      </w:r>
    </w:p>
    <w:p>
      <w:pPr>
        <w:spacing w:after="0" w:line="120" w:lineRule="exact"/>
        <w:rPr>
          <w:rFonts w:ascii="Arial" w:cs="Arial" w:eastAsia="Arial" w:hAnsi="Arial"/>
          <w:sz w:val="20"/>
          <w:szCs w:val="20"/>
          <w:color w:val="auto"/>
        </w:rPr>
      </w:pPr>
    </w:p>
    <w:p>
      <w:pPr>
        <w:ind w:left="720" w:right="980" w:hanging="360"/>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plans relating to commercializing our product candidates, if approved, including the geographic areas of focus and sales strategy;</w:t>
      </w:r>
    </w:p>
    <w:p>
      <w:pPr>
        <w:spacing w:after="0" w:line="38" w:lineRule="exact"/>
        <w:rPr>
          <w:rFonts w:ascii="Arial" w:cs="Arial" w:eastAsia="Arial" w:hAnsi="Arial"/>
          <w:sz w:val="20"/>
          <w:szCs w:val="20"/>
          <w:color w:val="auto"/>
        </w:rPr>
      </w:pPr>
    </w:p>
    <w:p>
      <w:pPr>
        <w:ind w:left="720" w:right="560" w:hanging="360"/>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expected potential benefits of strategic collaborations with third parties and our ability to attract collaborators with development;</w:t>
      </w:r>
    </w:p>
    <w:p>
      <w:pPr>
        <w:spacing w:after="0" w:line="4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regulatory and commercialization expertise;</w:t>
      </w:r>
    </w:p>
    <w:p>
      <w:pPr>
        <w:spacing w:after="0" w:line="120" w:lineRule="exact"/>
        <w:rPr>
          <w:rFonts w:ascii="Arial" w:cs="Arial" w:eastAsia="Arial" w:hAnsi="Arial"/>
          <w:sz w:val="20"/>
          <w:szCs w:val="20"/>
          <w:color w:val="auto"/>
        </w:rPr>
      </w:pPr>
    </w:p>
    <w:p>
      <w:pPr>
        <w:ind w:left="720" w:right="360" w:hanging="360"/>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estimates of the number of patients who suffer from the diseases we are targeting and the number of patients that will enroll in our clinical trials;</w:t>
      </w:r>
    </w:p>
    <w:p>
      <w:pPr>
        <w:spacing w:after="0" w:line="38" w:lineRule="exact"/>
        <w:rPr>
          <w:rFonts w:ascii="Arial" w:cs="Arial" w:eastAsia="Arial" w:hAnsi="Arial"/>
          <w:sz w:val="20"/>
          <w:szCs w:val="20"/>
          <w:color w:val="auto"/>
        </w:rPr>
      </w:pPr>
    </w:p>
    <w:p>
      <w:pPr>
        <w:ind w:left="720" w:right="560" w:hanging="360"/>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size of the market opportunity for our product candidates in each of the diseases we are targeting;</w:t>
      </w:r>
    </w:p>
    <w:p>
      <w:pPr>
        <w:spacing w:after="0" w:line="4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expand our product candidates into additional indications and patient populations;</w:t>
      </w:r>
    </w:p>
    <w:p>
      <w:pPr>
        <w:spacing w:after="0" w:line="12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success of competing therapies that are or may become available;</w:t>
      </w:r>
    </w:p>
    <w:p>
      <w:pPr>
        <w:spacing w:after="0" w:line="12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beneficial characteristics, safety, efficacy, and therapeutic effects of our product candidates;</w:t>
      </w:r>
    </w:p>
    <w:p>
      <w:pPr>
        <w:spacing w:after="0" w:line="120" w:lineRule="exact"/>
        <w:rPr>
          <w:rFonts w:ascii="Arial" w:cs="Arial" w:eastAsia="Arial" w:hAnsi="Arial"/>
          <w:sz w:val="20"/>
          <w:szCs w:val="20"/>
          <w:color w:val="auto"/>
        </w:rPr>
      </w:pPr>
    </w:p>
    <w:p>
      <w:pPr>
        <w:ind w:left="720" w:right="220" w:hanging="360"/>
        <w:spacing w:after="0" w:line="260"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timing or likelihood of regulatory filings and approvals, including our expectation to seek special designations, such as orphan drug or breakthrough therapy designation, for our product candidates for various diseases;</w:t>
      </w:r>
    </w:p>
    <w:p>
      <w:pPr>
        <w:spacing w:after="0" w:line="61" w:lineRule="exact"/>
        <w:rPr>
          <w:rFonts w:ascii="Arial" w:cs="Arial" w:eastAsia="Arial" w:hAnsi="Arial"/>
          <w:sz w:val="20"/>
          <w:szCs w:val="20"/>
          <w:color w:val="auto"/>
        </w:rPr>
      </w:pPr>
    </w:p>
    <w:p>
      <w:pPr>
        <w:ind w:left="720" w:hanging="361"/>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obtain and maintain regulatory approval of our product candidates;</w:t>
      </w:r>
    </w:p>
    <w:p>
      <w:pPr>
        <w:spacing w:after="0" w:line="120" w:lineRule="exact"/>
        <w:rPr>
          <w:rFonts w:ascii="Arial" w:cs="Arial" w:eastAsia="Arial" w:hAnsi="Arial"/>
          <w:sz w:val="20"/>
          <w:szCs w:val="20"/>
          <w:color w:val="auto"/>
        </w:rPr>
      </w:pPr>
    </w:p>
    <w:p>
      <w:pPr>
        <w:ind w:left="720" w:right="640" w:hanging="361"/>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plans relating to the further development and manufacturing of our product candidates, including additional indications that we may pursue;</w:t>
      </w:r>
    </w:p>
    <w:p>
      <w:pPr>
        <w:spacing w:after="0" w:line="40" w:lineRule="exact"/>
        <w:rPr>
          <w:rFonts w:ascii="Arial" w:cs="Arial" w:eastAsia="Arial" w:hAnsi="Arial"/>
          <w:sz w:val="20"/>
          <w:szCs w:val="20"/>
          <w:color w:val="auto"/>
        </w:rPr>
      </w:pPr>
    </w:p>
    <w:p>
      <w:pPr>
        <w:ind w:left="720" w:hanging="361"/>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existing regulations and regulatory developments in the United States and other jurisdictions;</w:t>
      </w:r>
    </w:p>
    <w:p>
      <w:pPr>
        <w:spacing w:after="0" w:line="118" w:lineRule="exact"/>
        <w:rPr>
          <w:rFonts w:ascii="Arial" w:cs="Arial" w:eastAsia="Arial" w:hAnsi="Arial"/>
          <w:sz w:val="20"/>
          <w:szCs w:val="20"/>
          <w:color w:val="auto"/>
        </w:rPr>
      </w:pPr>
    </w:p>
    <w:p>
      <w:pPr>
        <w:ind w:left="720" w:right="160" w:hanging="361"/>
        <w:spacing w:after="0" w:line="26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continued reliance on third parties to conduct additional clinical trials of our product candidates, and for the manufacture of our product candidates for preclinical studies and clinical trials;</w:t>
      </w:r>
    </w:p>
    <w:p>
      <w:pPr>
        <w:spacing w:after="0" w:line="61" w:lineRule="exact"/>
        <w:rPr>
          <w:rFonts w:ascii="Arial" w:cs="Arial" w:eastAsia="Arial" w:hAnsi="Arial"/>
          <w:sz w:val="20"/>
          <w:szCs w:val="20"/>
          <w:color w:val="auto"/>
        </w:rPr>
      </w:pPr>
    </w:p>
    <w:p>
      <w:pPr>
        <w:ind w:left="720" w:right="320" w:hanging="361"/>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plans and ability to obtain or protect intellectual property rights, including extensions of existing patent terms where available and the outcome of our ongoing arbitration proceedings;</w:t>
      </w:r>
    </w:p>
    <w:p>
      <w:pPr>
        <w:spacing w:after="0" w:line="40" w:lineRule="exact"/>
        <w:rPr>
          <w:rFonts w:ascii="Arial" w:cs="Arial" w:eastAsia="Arial" w:hAnsi="Arial"/>
          <w:sz w:val="20"/>
          <w:szCs w:val="20"/>
          <w:color w:val="auto"/>
        </w:rPr>
      </w:pPr>
    </w:p>
    <w:p>
      <w:pPr>
        <w:ind w:left="720" w:hanging="361"/>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need to hire additional personnel and our ability to attract and retain such personnel;</w:t>
      </w:r>
    </w:p>
    <w:p>
      <w:pPr>
        <w:spacing w:after="0" w:line="118" w:lineRule="exact"/>
        <w:rPr>
          <w:rFonts w:ascii="Arial" w:cs="Arial" w:eastAsia="Arial" w:hAnsi="Arial"/>
          <w:sz w:val="20"/>
          <w:szCs w:val="20"/>
          <w:color w:val="auto"/>
        </w:rPr>
      </w:pPr>
    </w:p>
    <w:p>
      <w:pPr>
        <w:ind w:left="720" w:right="460" w:hanging="361"/>
        <w:spacing w:after="0" w:line="282"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accuracy of our estimates regarding expenses, future revenue, capital requirements, and needs for additional financing;</w:t>
      </w:r>
    </w:p>
    <w:p>
      <w:pPr>
        <w:spacing w:after="0" w:line="40" w:lineRule="exact"/>
        <w:rPr>
          <w:rFonts w:ascii="Arial" w:cs="Arial" w:eastAsia="Arial" w:hAnsi="Arial"/>
          <w:sz w:val="20"/>
          <w:szCs w:val="20"/>
          <w:color w:val="auto"/>
        </w:rPr>
      </w:pPr>
    </w:p>
    <w:p>
      <w:pPr>
        <w:ind w:left="720" w:hanging="361"/>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financial performance;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9360"/>
          </w:cols>
          <w:pgMar w:left="1440" w:top="984" w:right="1440" w:bottom="161" w:gutter="0" w:footer="0" w:header="0"/>
        </w:sectPr>
      </w:pPr>
    </w:p>
    <w:bookmarkStart w:id="5" w:name="page6"/>
    <w:bookmarkEnd w:id="5"/>
    <w:p>
      <w:pPr>
        <w:ind w:left="720" w:right="80" w:hanging="360"/>
        <w:spacing w:after="0" w:line="282"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our existing cash, cash equivalents and marketable securities to fund our future operating expenses and capital expenditure requirements.</w:t>
      </w:r>
    </w:p>
    <w:p>
      <w:pPr>
        <w:spacing w:after="0" w:line="38" w:lineRule="exact"/>
        <w:rPr>
          <w:sz w:val="20"/>
          <w:szCs w:val="20"/>
          <w:color w:val="auto"/>
        </w:rPr>
      </w:pPr>
    </w:p>
    <w:p>
      <w:pPr>
        <w:jc w:val="both"/>
        <w:ind w:firstLine="446"/>
        <w:spacing w:after="0" w:line="244" w:lineRule="auto"/>
        <w:rPr>
          <w:sz w:val="20"/>
          <w:szCs w:val="20"/>
          <w:color w:val="auto"/>
        </w:rPr>
      </w:pPr>
      <w:r>
        <w:rPr>
          <w:rFonts w:ascii="Arial" w:cs="Arial" w:eastAsia="Arial" w:hAnsi="Arial"/>
          <w:sz w:val="20"/>
          <w:szCs w:val="20"/>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All forward- looking statements are made as of the date of this report and we do not undertake any obligation to update our forward-looking statements, except as required by applicable law.</w:t>
      </w:r>
    </w:p>
    <w:p>
      <w:pPr>
        <w:spacing w:after="0" w:line="195"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20"/>
          <w:szCs w:val="20"/>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4" w:lineRule="exact"/>
        <w:rPr>
          <w:sz w:val="20"/>
          <w:szCs w:val="20"/>
          <w:color w:val="auto"/>
        </w:rPr>
      </w:pPr>
    </w:p>
    <w:p>
      <w:pPr>
        <w:jc w:val="both"/>
        <w:ind w:firstLine="446"/>
        <w:spacing w:after="0" w:line="247" w:lineRule="auto"/>
        <w:rPr>
          <w:sz w:val="20"/>
          <w:szCs w:val="20"/>
          <w:color w:val="auto"/>
        </w:rPr>
      </w:pPr>
      <w:r>
        <w:rPr>
          <w:rFonts w:ascii="Arial" w:cs="Arial" w:eastAsia="Arial" w:hAnsi="Arial"/>
          <w:sz w:val="20"/>
          <w:szCs w:val="20"/>
          <w:color w:val="auto"/>
        </w:rPr>
        <w:t>Investors and others should note that we may announce material business and financial information to our investors using our investor relations website (https://investors.compasstherapeutics.com), Securities and Exchange Commission ("SEC"), filings, webcasts, press releases, and conference calls. We use these mediums, including our website, to communicate with our members and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9360"/>
          </w:cols>
          <w:pgMar w:left="1440" w:top="988" w:right="1440" w:bottom="161"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PART I</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We are a clinical-stage, oncology-focused biopharmaceutical company developing proprietary antibody -based therapeutics to treat multiple human diseases. Our scientific focus is on the relationship between angiogenesis, the immune system, and tumor growth. Our pipeline of novel product candidates is designed to target multiple critical biological pathways required for an effective anti-tumor response. These include modulation of the microvasculature via angiogenesis-targeted agents, induction of a potent immune response via activators on effector cells in the tumor microenvironment, and alleviation of immunosuppressive mechanisms used by tumors to evade immune surveillance. We plan to advance our product candidates through clinical development and commercialization as both standalone therapies and in combination with proprietary pipeline antibodies based on supportive clinical and nonclinical data.</w:t>
      </w:r>
    </w:p>
    <w:p>
      <w:pPr>
        <w:spacing w:after="0" w:line="199" w:lineRule="exact"/>
        <w:rPr>
          <w:sz w:val="20"/>
          <w:szCs w:val="20"/>
          <w:color w:val="auto"/>
        </w:rPr>
      </w:pPr>
    </w:p>
    <w:p>
      <w:pPr>
        <w:ind w:firstLine="491"/>
        <w:spacing w:after="0" w:line="244" w:lineRule="auto"/>
        <w:rPr>
          <w:sz w:val="20"/>
          <w:szCs w:val="20"/>
          <w:color w:val="auto"/>
        </w:rPr>
      </w:pPr>
      <w:r>
        <w:rPr>
          <w:rFonts w:ascii="Arial" w:cs="Arial" w:eastAsia="Arial" w:hAnsi="Arial"/>
          <w:sz w:val="20"/>
          <w:szCs w:val="20"/>
          <w:color w:val="auto"/>
        </w:rPr>
        <w:t>Our pipeline consists of four clinical product candidates. Our lead product candidate, tovecimig (formerly known as CTX-009), is a bispecific antibody targeting Delta-like ligand 4 (“DLL4”), a ligand of Notch-1, and vascular endothelial growth factor A (“VEGF-A”) . Simultaneous blockade of the VEGF-A and the Notch pathways is known to turn productive angiogenesis into non-productive angiogenesis, which leads to tumor shrinkage and apoptosis. Our second program, CTX-471, is an agonistic antibody targeting a member of the tumor necrosis factor receptor superfamily member 9 (TNFRSF9), also known as CD- 137 or 4-1BB, a co-stimulatory receptor which is mostly expressed on activated, but not on resting, T-cells and NK cells. Our third program, CTX-8371, is a bispecific antibody targeting the programmed cell death protein-1 (“PD-1”), an inhibitory immune checkpoint receptor, and its ligand PD-L1, two validated immune-oncology targets. Our fourth program, CTX-10726, is a bispecific antibody targeting PD-1 and VEFG-A.</w:t>
      </w:r>
    </w:p>
    <w:p>
      <w:pPr>
        <w:spacing w:after="0" w:line="198"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Tovecimig (CTX-009), our bispecific antibody targeting DLL4 and VEGF -A, is currently being evaluated in a randomized Phase 2/3 trial in the United States in combination with paclitaxel in patients with biliary tract cancer (“BTC”) who received one prior treatment regimen. The trial met its primary endpoint with an overall response rate (“ORR”) of 17.1% for tovecimig in combination with paclitaxel, including one complete response, compared to a 5.3% ORR for paclitaxel alone. This difference was statistically significant with p=0.031. In the Phase 2/3 trial, the prespecified event threshold of 80% overall survival (OS) events was reached in Q1 2026; therefore, the analyses of progression-free survival (PFS) and OS are expected to be reported in April 2026.</w:t>
      </w:r>
    </w:p>
    <w:p>
      <w:pPr>
        <w:spacing w:after="0" w:line="193" w:lineRule="exact"/>
        <w:rPr>
          <w:sz w:val="20"/>
          <w:szCs w:val="20"/>
          <w:color w:val="auto"/>
        </w:rPr>
      </w:pPr>
    </w:p>
    <w:p>
      <w:pPr>
        <w:jc w:val="both"/>
        <w:ind w:right="420" w:firstLine="490"/>
        <w:spacing w:after="0" w:line="261" w:lineRule="auto"/>
        <w:rPr>
          <w:sz w:val="20"/>
          <w:szCs w:val="20"/>
          <w:color w:val="auto"/>
        </w:rPr>
      </w:pPr>
      <w:r>
        <w:rPr>
          <w:rFonts w:ascii="Arial" w:cs="Arial" w:eastAsia="Arial" w:hAnsi="Arial"/>
          <w:sz w:val="20"/>
          <w:szCs w:val="20"/>
          <w:color w:val="auto"/>
        </w:rPr>
        <w:t>Further, an ongoing Investigator Sponsored Trial (“IST”) is evaluating tovecimig in the front-line setting for patients with BTC, combining tovecimig with the standard first-line regimen of gemcitabine, cisplatin, and durvalumab.</w:t>
      </w:r>
    </w:p>
    <w:p>
      <w:pPr>
        <w:spacing w:after="0" w:line="181" w:lineRule="exact"/>
        <w:rPr>
          <w:sz w:val="20"/>
          <w:szCs w:val="20"/>
          <w:color w:val="auto"/>
        </w:rPr>
      </w:pPr>
    </w:p>
    <w:p>
      <w:pPr>
        <w:jc w:val="both"/>
        <w:ind w:right="120" w:firstLine="489"/>
        <w:spacing w:after="0" w:line="250" w:lineRule="auto"/>
        <w:rPr>
          <w:sz w:val="20"/>
          <w:szCs w:val="20"/>
          <w:color w:val="auto"/>
        </w:rPr>
      </w:pPr>
      <w:r>
        <w:rPr>
          <w:rFonts w:ascii="Arial" w:cs="Arial" w:eastAsia="Arial" w:hAnsi="Arial"/>
          <w:sz w:val="20"/>
          <w:szCs w:val="20"/>
          <w:color w:val="auto"/>
        </w:rPr>
        <w:t>We estimate that there are approximately 26,500 patients newly diagnosed with BTC in the United States each year and over 200,000 patients worldwide. Patients with BTC have a poor prognosis despite first-line treatment with chemotherapy and immunotherapy, and there is no generally accepted standard of care in later lines of treatment, except for therapies addressing targeted mutations, which is estimated to be approximately 15% to 20% of the patient population.</w:t>
      </w:r>
    </w:p>
    <w:p>
      <w:pPr>
        <w:spacing w:after="0" w:line="192"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Beyond BTC, we intend to expand the development of tovecimig to additional solid tumor indications with significant unmet need and a mechanistic rationale for using an angiogenic inhibitor, such as colorectal cancer (“CRC”), ovarian cancer, gastric cancer, renal cell carcinoma, and hepatocellular carcinoma. In CRC, we presented data in January 2026 showing tovecimig demonstrated a 5% overall response rate (“ORR”) as a monotherapy in our Phase 2 study of patients with advanced, metastatic CRC treated in the third- and fourth-line settings. Following the generation of positive clinical data in later lines of therapy, we plan to study tovecimig in earlier settings in all indications where the data support it.</w:t>
      </w:r>
    </w:p>
    <w:p>
      <w:pPr>
        <w:spacing w:after="0" w:line="194" w:lineRule="exact"/>
        <w:rPr>
          <w:sz w:val="20"/>
          <w:szCs w:val="20"/>
          <w:color w:val="auto"/>
        </w:rPr>
      </w:pPr>
    </w:p>
    <w:p>
      <w:pPr>
        <w:ind w:right="20" w:firstLine="490"/>
        <w:spacing w:after="0" w:line="266" w:lineRule="auto"/>
        <w:rPr>
          <w:sz w:val="20"/>
          <w:szCs w:val="20"/>
          <w:color w:val="auto"/>
        </w:rPr>
      </w:pPr>
      <w:r>
        <w:rPr>
          <w:rFonts w:ascii="Arial" w:cs="Arial" w:eastAsia="Arial" w:hAnsi="Arial"/>
          <w:sz w:val="19"/>
          <w:szCs w:val="19"/>
          <w:color w:val="auto"/>
        </w:rPr>
        <w:t>CTX- 471, our CD137 (or 4-1BB) agonistic antibody, targets a key node of the immune system with the goal of becoming a next generation immune-oncology treatment for patients across a variety of cancers who do not have a sustained response to current therapies. During its early clinical development, CTX-471 demonstrated monotherapy activity in the post-PD-1/PD- L1 patient population across three solid tumor indications: melanoma, small cell lung cancer (“SCLC”) and mesothelioma. The Phase 1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9360"/>
          </w:cols>
          <w:pgMar w:left="1440" w:top="984" w:right="1440" w:bottom="161" w:gutter="0" w:footer="0" w:header="0"/>
        </w:sectPr>
      </w:pPr>
    </w:p>
    <w:bookmarkStart w:id="7" w:name="page8"/>
    <w:bookmarkEnd w:id="7"/>
    <w:p>
      <w:pPr>
        <w:ind w:right="20"/>
        <w:spacing w:after="0" w:line="260" w:lineRule="auto"/>
        <w:rPr>
          <w:sz w:val="20"/>
          <w:szCs w:val="20"/>
          <w:color w:val="auto"/>
        </w:rPr>
      </w:pPr>
      <w:r>
        <w:rPr>
          <w:rFonts w:ascii="Arial" w:cs="Arial" w:eastAsia="Arial" w:hAnsi="Arial"/>
          <w:sz w:val="20"/>
          <w:szCs w:val="20"/>
          <w:color w:val="auto"/>
        </w:rPr>
        <w:t>which included one complete response, also identified a potential biomarker of activity for CTX-471, neural cell adhesion molecule (NCAM or CD56). We expect to initiate a Phase 2 basket study of CTX-471 in patients with NCAM+ tumors in mid-2026.</w:t>
      </w:r>
    </w:p>
    <w:p>
      <w:pPr>
        <w:spacing w:after="0" w:line="181" w:lineRule="exact"/>
        <w:rPr>
          <w:sz w:val="20"/>
          <w:szCs w:val="20"/>
          <w:color w:val="auto"/>
        </w:rPr>
      </w:pPr>
    </w:p>
    <w:p>
      <w:pPr>
        <w:ind w:right="20" w:firstLine="490"/>
        <w:spacing w:after="0" w:line="238" w:lineRule="auto"/>
        <w:rPr>
          <w:sz w:val="20"/>
          <w:szCs w:val="20"/>
          <w:color w:val="auto"/>
        </w:rPr>
      </w:pPr>
      <w:r>
        <w:rPr>
          <w:rFonts w:ascii="Arial" w:cs="Arial" w:eastAsia="Arial" w:hAnsi="Arial"/>
          <w:sz w:val="20"/>
          <w:szCs w:val="20"/>
          <w:color w:val="auto"/>
        </w:rPr>
        <w:t>CTX-8371, our bispecific antibody targeting PD-1 and PD-L1, is currently in a first-in-human Phase 1 clinical trial. In the dose escalation portion of the trial, CTX-8371 demonstrated deep responses in patients with three different tumor types; non-small cell lung cancer (“NSCLC”), triple-negative breast cancer (“TNBC”) and Hodgkin lymphoma (“HL”), with no dose limiting toxicities observed. We have initiated cohort expansions in patients with NSCLC and TNBC and expect a further expansion cohort in patients with HL to begin shortly. CTX-8371 emerged from an unbiased screen for synergy conducted with our StitchMabs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platform. We subsequently tested CTX-8371 in several in vitro and in vivo models where it demonstrated enhanced activation of immune responses when compared with commercially available checkpoint blockers, which target either PD-1 or PD-L1, but not both. We believe that CTX-8371 has the potential to become a next generation checkpoint inhibitor with improved activity across various solid tumors relative to approved checkpoint blockers.</w:t>
      </w:r>
    </w:p>
    <w:p>
      <w:pPr>
        <w:spacing w:after="0" w:line="204" w:lineRule="exact"/>
        <w:rPr>
          <w:sz w:val="20"/>
          <w:szCs w:val="20"/>
          <w:color w:val="auto"/>
        </w:rPr>
      </w:pPr>
    </w:p>
    <w:p>
      <w:pPr>
        <w:ind w:right="140" w:firstLine="490"/>
        <w:spacing w:after="0" w:line="251" w:lineRule="auto"/>
        <w:rPr>
          <w:sz w:val="20"/>
          <w:szCs w:val="20"/>
          <w:color w:val="auto"/>
        </w:rPr>
      </w:pPr>
      <w:r>
        <w:rPr>
          <w:rFonts w:ascii="Arial" w:cs="Arial" w:eastAsia="Arial" w:hAnsi="Arial"/>
          <w:sz w:val="20"/>
          <w:szCs w:val="20"/>
          <w:color w:val="auto"/>
        </w:rPr>
        <w:t>Finally, CTX-10726, our bispecific antibody targeting PD-1 and VEGF-A, is a fully human IgG1 with silenced Fc-Ȗ receptor binding that was discovered and developed in-house. In early 2026, we received FDA clearance for the IND for CTX-10726 and initiated a Phase 1 dose escalation study. We expect to accelerate the development of CTX-10726 by leveraging our experience developing and manufacturing bispecific structures containing the VEGF-A and PD-1 components.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44" w:lineRule="exact"/>
        <w:rPr>
          <w:sz w:val="20"/>
          <w:szCs w:val="20"/>
          <w:color w:val="auto"/>
        </w:rPr>
      </w:pPr>
    </w:p>
    <w:p>
      <w:pPr>
        <w:ind w:right="60" w:firstLine="490"/>
        <w:spacing w:after="0" w:line="266" w:lineRule="auto"/>
        <w:rPr>
          <w:sz w:val="20"/>
          <w:szCs w:val="20"/>
          <w:color w:val="auto"/>
        </w:rPr>
      </w:pPr>
      <w:r>
        <w:rPr>
          <w:rFonts w:ascii="Arial" w:cs="Arial" w:eastAsia="Arial" w:hAnsi="Arial"/>
          <w:sz w:val="19"/>
          <w:szCs w:val="19"/>
          <w:color w:val="auto"/>
        </w:rPr>
        <w:t>Our scientific focus is on the relationship between angiogenesis, the immune system, and tumor growth. Our pipeline of novel product candidates is designed to target multiple critical biological pathways required for an effective anti-tumor response. Our strategy to achieve this goal includes advancing our product candidates through clinical development and commercialization. This may include combining our product candidates with other drugs or with each other through various indications and lines of therapy.</w:t>
      </w:r>
    </w:p>
    <w:p>
      <w:pPr>
        <w:spacing w:after="0" w:line="179" w:lineRule="exact"/>
        <w:rPr>
          <w:sz w:val="20"/>
          <w:szCs w:val="20"/>
          <w:color w:val="auto"/>
        </w:rPr>
      </w:pPr>
    </w:p>
    <w:p>
      <w:pPr>
        <w:ind w:right="20" w:firstLine="545"/>
        <w:spacing w:after="0" w:line="264" w:lineRule="auto"/>
        <w:rPr>
          <w:sz w:val="20"/>
          <w:szCs w:val="20"/>
          <w:color w:val="auto"/>
        </w:rPr>
      </w:pPr>
      <w:r>
        <w:rPr>
          <w:rFonts w:ascii="Arial" w:cs="Arial" w:eastAsia="Arial" w:hAnsi="Arial"/>
          <w:sz w:val="19"/>
          <w:szCs w:val="19"/>
          <w:color w:val="auto"/>
        </w:rPr>
        <w:t>We may also seek strategic partnerships for select product candidates. Our research and discovery platform is designed to generate a broad pipeline of product candidates with high potential for clinical application. We intend to assess on a case-by-case basis the opportunities for accelerating the preclinical development, clinical development and commercialization of these candidates in a capital-efficient manner, including selectively pursuing strategic partnerships with leading biopharmaceutical companies with domain-specific clinical development and commercial expertise to maximize the value of 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9360"/>
          </w:cols>
          <w:pgMar w:left="1440" w:top="988" w:right="1440" w:bottom="161"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Pipeline</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figure below details our pipeline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164465</wp:posOffset>
            </wp:positionV>
            <wp:extent cx="5943600" cy="3481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5943600"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Candidates</w:t>
      </w:r>
    </w:p>
    <w:p>
      <w:pPr>
        <w:spacing w:after="0" w:line="242" w:lineRule="exact"/>
        <w:rPr>
          <w:sz w:val="20"/>
          <w:szCs w:val="20"/>
          <w:color w:val="auto"/>
        </w:rPr>
      </w:pPr>
    </w:p>
    <w:p>
      <w:pPr>
        <w:ind w:right="20" w:firstLine="490"/>
        <w:spacing w:after="0" w:line="282" w:lineRule="auto"/>
        <w:rPr>
          <w:sz w:val="20"/>
          <w:szCs w:val="20"/>
          <w:color w:val="auto"/>
        </w:rPr>
      </w:pPr>
      <w:r>
        <w:rPr>
          <w:rFonts w:ascii="Arial" w:cs="Arial" w:eastAsia="Arial" w:hAnsi="Arial"/>
          <w:sz w:val="20"/>
          <w:szCs w:val="20"/>
          <w:color w:val="auto"/>
        </w:rPr>
        <w:t>We currently have four product candidates in the clinical stage of development: tovecimig, CTX-471, CTX-8371, and CTX-10726. In addition, we are developing multiple additional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Tovecimig (DLL4 X VEGF-A bispecific antibody)</w:t>
      </w:r>
    </w:p>
    <w:p>
      <w:pPr>
        <w:spacing w:after="0" w:line="244" w:lineRule="exact"/>
        <w:rPr>
          <w:sz w:val="20"/>
          <w:szCs w:val="20"/>
          <w:color w:val="auto"/>
        </w:rPr>
      </w:pPr>
    </w:p>
    <w:p>
      <w:pPr>
        <w:ind w:right="120" w:firstLine="490"/>
        <w:spacing w:after="0" w:line="248" w:lineRule="auto"/>
        <w:rPr>
          <w:sz w:val="20"/>
          <w:szCs w:val="20"/>
          <w:color w:val="auto"/>
        </w:rPr>
      </w:pPr>
      <w:r>
        <w:rPr>
          <w:rFonts w:ascii="Arial" w:cs="Arial" w:eastAsia="Arial" w:hAnsi="Arial"/>
          <w:sz w:val="20"/>
          <w:szCs w:val="20"/>
          <w:color w:val="auto"/>
        </w:rPr>
        <w:t>Tovecimig (formerly known as CTX-009) is an investigational bispecific antibody that is designed to simultaneously block the DLL4 and VEGF-A signaling pathways, which are critical to angiogenesis and tumor vascularization. Preclinical and early clinical data of tovecimig as a monotherapy and in combination with chemotherapy suggest that blockade of both pathways provides robust anti-tumor activity across several solid tumor indications, including cholangiocarcinoma, colorectal cancer, gastric cancer, pancreatic cancer, and NSCLC.</w:t>
      </w:r>
    </w:p>
    <w:p>
      <w:pPr>
        <w:spacing w:after="0" w:line="194"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Tovecimig is undergoing clinical development in patients with advanced solid tumors in the United States. We are currently conducting a randomized Phase 2/3 trial of tovecimig in combination with paclitaxel in patients with advanced BTC. Previously, tovecimig underwent a Phase 1 dose escalation and dose expansion monotherapy trial in patients with solid tumors, a Phase 1b trial in combination with chemotherapy, and a Phase 2 trial in combination with chemotherapy in patients with advanced biliary tract cancer, all of which were completed in South Korea. In addition, an investigator sponsored trial of tovecimig in the first-line setting in combination with gemcitabine/cisplatin and durvalumab in patients with BTC was initiated in the first quarter of 2025, led by investigators at The University of Texas MD Anderson Cancer Center.</w:t>
      </w:r>
    </w:p>
    <w:p>
      <w:pPr>
        <w:spacing w:after="0" w:line="196" w:lineRule="exact"/>
        <w:rPr>
          <w:sz w:val="20"/>
          <w:szCs w:val="20"/>
          <w:color w:val="auto"/>
        </w:rPr>
      </w:pPr>
    </w:p>
    <w:p>
      <w:pPr>
        <w:ind w:right="220" w:firstLine="490"/>
        <w:spacing w:after="0" w:line="254" w:lineRule="auto"/>
        <w:rPr>
          <w:sz w:val="20"/>
          <w:szCs w:val="20"/>
          <w:color w:val="auto"/>
        </w:rPr>
      </w:pPr>
      <w:r>
        <w:rPr>
          <w:rFonts w:ascii="Arial" w:cs="Arial" w:eastAsia="Arial" w:hAnsi="Arial"/>
          <w:sz w:val="20"/>
          <w:szCs w:val="20"/>
          <w:color w:val="auto"/>
        </w:rPr>
        <w:t>We have licensed exclusive global rights to tovecimig, outside of South Korea, from ABL Bio, Inc. (“ABL Bio”), a South Korea-based clinical-stage company focused on developing antibody therapeutics. South Korean rights are held by Handok Pharmaceuticals, Inc. (“Handok”) and China rights were out-licensed to Elpiscience Biopharmaceuticals Co., Limited (“Elpiscience”).</w:t>
      </w:r>
    </w:p>
    <w:p>
      <w:pPr>
        <w:sectPr>
          <w:pgSz w:w="12240" w:h="15840" w:orient="portrait"/>
          <w:cols w:equalWidth="0" w:num="1">
            <w:col w:w="9360"/>
          </w:cols>
          <w:pgMar w:left="1440" w:top="984" w:right="1440" w:bottom="161"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9360"/>
          </w:cols>
          <w:pgMar w:left="1440" w:top="984" w:right="1440" w:bottom="161"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Phase 1b and 2 Trials of Tovecimig with Paclitaxel in Patients with BTC - South Korea</w:t>
      </w:r>
    </w:p>
    <w:p>
      <w:pPr>
        <w:spacing w:after="0" w:line="244" w:lineRule="exact"/>
        <w:rPr>
          <w:sz w:val="20"/>
          <w:szCs w:val="20"/>
          <w:color w:val="auto"/>
        </w:rPr>
      </w:pPr>
    </w:p>
    <w:p>
      <w:pPr>
        <w:ind w:right="100" w:firstLine="360"/>
        <w:spacing w:after="0" w:line="248" w:lineRule="auto"/>
        <w:rPr>
          <w:sz w:val="20"/>
          <w:szCs w:val="20"/>
          <w:color w:val="auto"/>
        </w:rPr>
      </w:pPr>
      <w:r>
        <w:rPr>
          <w:rFonts w:ascii="Arial" w:cs="Arial" w:eastAsia="Arial" w:hAnsi="Arial"/>
          <w:sz w:val="20"/>
          <w:szCs w:val="20"/>
          <w:color w:val="auto"/>
        </w:rPr>
        <w:t>In the Phase 1b study, there were four patients enrolled with cholangiocarcinoma. Two of these four patients had deep, durable, and confirmed responses. Both of these patients received tovecimig in combination with paclitaxel. Based on this observation, a Phase 2 trial of tovecimig in combination with paclitaxel was completed by Handok and Compass in patients with BTC, with data reported in the first quarter of 2023. The trial enrolled patients with unresectable advanced, metastatic, or relapsed BTC who had received one or two prior systemic therapies.</w:t>
      </w:r>
    </w:p>
    <w:p>
      <w:pPr>
        <w:spacing w:after="0" w:line="233" w:lineRule="exact"/>
        <w:rPr>
          <w:sz w:val="20"/>
          <w:szCs w:val="20"/>
          <w:color w:val="auto"/>
        </w:rPr>
      </w:pPr>
    </w:p>
    <w:p>
      <w:pPr>
        <w:ind w:right="200" w:firstLine="489"/>
        <w:spacing w:after="0" w:line="251" w:lineRule="auto"/>
        <w:rPr>
          <w:sz w:val="20"/>
          <w:szCs w:val="20"/>
          <w:color w:val="auto"/>
        </w:rPr>
      </w:pPr>
      <w:r>
        <w:rPr>
          <w:rFonts w:ascii="Arial" w:cs="Arial" w:eastAsia="Arial" w:hAnsi="Arial"/>
          <w:sz w:val="20"/>
          <w:szCs w:val="20"/>
          <w:color w:val="auto"/>
        </w:rPr>
        <w:t>This Phase 2 trial utilized a Simon Two-Stage adaptive design where the criteria to advance to the second stage of the trial was three PRs observed in 21 evaluable patients. In the preliminary analysis of 24 patients participating in the study, tovecimig with paclitaxel demonstrated a 37.5% ORR based on 9 patients with PRs that were confirmed by RECIST 1.1. The results of Part 1 of the Phase 2 trial were presented at the 2023 ASCO GI meeting in January 2023.</w:t>
      </w:r>
    </w:p>
    <w:p>
      <w:pPr>
        <w:spacing w:after="0" w:line="228" w:lineRule="exact"/>
        <w:rPr>
          <w:sz w:val="20"/>
          <w:szCs w:val="20"/>
          <w:color w:val="auto"/>
        </w:rPr>
      </w:pPr>
    </w:p>
    <w:p>
      <w:pPr>
        <w:ind w:right="180" w:firstLine="490"/>
        <w:spacing w:after="0" w:line="254" w:lineRule="auto"/>
        <w:rPr>
          <w:sz w:val="20"/>
          <w:szCs w:val="20"/>
          <w:color w:val="auto"/>
        </w:rPr>
      </w:pPr>
      <w:r>
        <w:rPr>
          <w:rFonts w:ascii="Arial" w:cs="Arial" w:eastAsia="Arial" w:hAnsi="Arial"/>
          <w:sz w:val="20"/>
          <w:szCs w:val="20"/>
          <w:color w:val="auto"/>
        </w:rPr>
        <w:t>Based on the efficacy data and following discussions with the FDA, while the trial had met the criteria to advance to Part 2, FDA recommended and we agreed to forego the second stage of the study and advance tovecimig directly to a randomized Phase 2/3 study in patients with BTC treated in the second-line setting.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Safety Data Summary</w:t>
      </w:r>
    </w:p>
    <w:p>
      <w:pPr>
        <w:spacing w:after="0" w:line="227"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auto"/>
        </w:rPr>
        <w:t>Tovecimig safety data has been analyzed and was observed to be generally well-tolerated. Of the 24 patients enrolled in the trial, all patients had at least one treatment emergent adverse event (“TEAE”) . Grade 3 or greater TEAEs were reported in 95.8% of patients regardless of the relationship to tovecimig or paclitaxel, including decreased neutrophil count (83.3%), hypertension (16.7%), anemia (20.8%), and decreased platelet count (12.5%). Grade 3 or greater adverse events that were designated to be of special interest (“AESIs”) by the trial investigators were hemoptysis or hemorrhage (12.5%) and GI or tumor perforation (8.3%), with 0% for pulmonary hypertension, wound healing complication and cardiac failure.</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table below depicts a summary of the TEAEs in 24 patients for the study.</w:t>
      </w:r>
    </w:p>
    <w:p>
      <w:pPr>
        <w:spacing w:after="0" w:line="146"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Total</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Grade 3</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Grade 3</w:t>
            </w:r>
          </w:p>
        </w:tc>
      </w:tr>
      <w:tr>
        <w:trPr>
          <w:trHeight w:val="212"/>
        </w:trPr>
        <w:tc>
          <w:tcPr>
            <w:tcW w:w="460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Treatment Emergent Adverse Events observed in &gt; 1 patient</w:t>
            </w:r>
          </w:p>
        </w:tc>
        <w:tc>
          <w:tcPr>
            <w:tcW w:w="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(n)</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(n)</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36"/>
        </w:trPr>
        <w:tc>
          <w:tcPr>
            <w:tcW w:w="20" w:type="dxa"/>
            <w:vAlign w:val="bottom"/>
          </w:tcPr>
          <w:p>
            <w:pPr>
              <w:spacing w:after="0"/>
              <w:rPr>
                <w:sz w:val="3"/>
                <w:szCs w:val="3"/>
                <w:color w:val="auto"/>
              </w:rPr>
            </w:pPr>
          </w:p>
        </w:tc>
        <w:tc>
          <w:tcPr>
            <w:tcW w:w="4580" w:type="dxa"/>
            <w:vAlign w:val="bottom"/>
            <w:tcBorders>
              <w:top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r>
      <w:tr>
        <w:trPr>
          <w:trHeight w:val="240"/>
        </w:trPr>
        <w:tc>
          <w:tcPr>
            <w:tcW w:w="4600" w:type="dxa"/>
            <w:vAlign w:val="bottom"/>
            <w:gridSpan w:val="2"/>
            <w:shd w:val="clear" w:color="auto" w:fill="D2EEF5"/>
          </w:tcPr>
          <w:p>
            <w:pPr>
              <w:ind w:left="20"/>
              <w:spacing w:after="0"/>
              <w:rPr>
                <w:sz w:val="20"/>
                <w:szCs w:val="20"/>
                <w:color w:val="auto"/>
              </w:rPr>
            </w:pPr>
            <w:r>
              <w:rPr>
                <w:rFonts w:ascii="Arial" w:cs="Arial" w:eastAsia="Arial" w:hAnsi="Arial"/>
                <w:sz w:val="16"/>
                <w:szCs w:val="16"/>
                <w:color w:val="auto"/>
              </w:rPr>
              <w:t>Neutrophil count decreased</w:t>
            </w:r>
          </w:p>
        </w:tc>
        <w:tc>
          <w:tcPr>
            <w:tcW w:w="106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22</w:t>
            </w:r>
          </w:p>
        </w:tc>
        <w:tc>
          <w:tcPr>
            <w:tcW w:w="1080" w:type="dxa"/>
            <w:vAlign w:val="bottom"/>
            <w:gridSpan w:val="3"/>
            <w:shd w:val="clear" w:color="auto" w:fill="D2EEF5"/>
          </w:tcPr>
          <w:p>
            <w:pPr>
              <w:jc w:val="right"/>
              <w:ind w:right="180"/>
              <w:spacing w:after="0"/>
              <w:rPr>
                <w:sz w:val="20"/>
                <w:szCs w:val="20"/>
                <w:color w:val="auto"/>
              </w:rPr>
            </w:pPr>
            <w:r>
              <w:rPr>
                <w:rFonts w:ascii="Arial" w:cs="Arial" w:eastAsia="Arial" w:hAnsi="Arial"/>
                <w:sz w:val="16"/>
                <w:szCs w:val="16"/>
                <w:color w:val="auto"/>
              </w:rPr>
              <w:t>92</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20</w:t>
            </w:r>
          </w:p>
        </w:tc>
        <w:tc>
          <w:tcPr>
            <w:tcW w:w="94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color w:val="auto"/>
              </w:rPr>
              <w:t>83</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Hypertension</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50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r>
        <w:trPr>
          <w:trHeight w:val="240"/>
        </w:trPr>
        <w:tc>
          <w:tcPr>
            <w:tcW w:w="4600" w:type="dxa"/>
            <w:vAlign w:val="bottom"/>
            <w:gridSpan w:val="2"/>
            <w:shd w:val="clear" w:color="auto" w:fill="D2EEF5"/>
          </w:tcPr>
          <w:p>
            <w:pPr>
              <w:ind w:left="20"/>
              <w:spacing w:after="0"/>
              <w:rPr>
                <w:sz w:val="20"/>
                <w:szCs w:val="20"/>
                <w:color w:val="auto"/>
              </w:rPr>
            </w:pPr>
            <w:r>
              <w:rPr>
                <w:rFonts w:ascii="Arial" w:cs="Arial" w:eastAsia="Arial" w:hAnsi="Arial"/>
                <w:sz w:val="16"/>
                <w:szCs w:val="16"/>
                <w:color w:val="auto"/>
              </w:rPr>
              <w:t>Platelet count decreased</w:t>
            </w:r>
          </w:p>
        </w:tc>
        <w:tc>
          <w:tcPr>
            <w:tcW w:w="106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9</w:t>
            </w:r>
          </w:p>
        </w:tc>
        <w:tc>
          <w:tcPr>
            <w:tcW w:w="1080" w:type="dxa"/>
            <w:vAlign w:val="bottom"/>
            <w:gridSpan w:val="3"/>
            <w:shd w:val="clear" w:color="auto" w:fill="D2EEF5"/>
          </w:tcPr>
          <w:p>
            <w:pPr>
              <w:jc w:val="right"/>
              <w:ind w:right="180"/>
              <w:spacing w:after="0"/>
              <w:rPr>
                <w:sz w:val="20"/>
                <w:szCs w:val="20"/>
                <w:color w:val="auto"/>
              </w:rPr>
            </w:pPr>
            <w:r>
              <w:rPr>
                <w:rFonts w:ascii="Arial" w:cs="Arial" w:eastAsia="Arial" w:hAnsi="Arial"/>
                <w:sz w:val="16"/>
                <w:szCs w:val="16"/>
                <w:color w:val="auto"/>
              </w:rPr>
              <w:t>38</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3</w:t>
            </w:r>
          </w:p>
        </w:tc>
        <w:tc>
          <w:tcPr>
            <w:tcW w:w="94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color w:val="auto"/>
              </w:rPr>
              <w:t>13</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Anaemia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21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240"/>
        </w:trPr>
        <w:tc>
          <w:tcPr>
            <w:tcW w:w="4600" w:type="dxa"/>
            <w:vAlign w:val="bottom"/>
            <w:gridSpan w:val="2"/>
            <w:shd w:val="clear" w:color="auto" w:fill="D2EEF5"/>
          </w:tcPr>
          <w:p>
            <w:pPr>
              <w:ind w:left="20"/>
              <w:spacing w:after="0"/>
              <w:rPr>
                <w:sz w:val="20"/>
                <w:szCs w:val="20"/>
                <w:color w:val="auto"/>
              </w:rPr>
            </w:pPr>
            <w:r>
              <w:rPr>
                <w:rFonts w:ascii="Arial" w:cs="Arial" w:eastAsia="Arial" w:hAnsi="Arial"/>
                <w:sz w:val="16"/>
                <w:szCs w:val="16"/>
                <w:color w:val="auto"/>
              </w:rPr>
              <w:t>Ascites</w:t>
            </w:r>
          </w:p>
        </w:tc>
        <w:tc>
          <w:tcPr>
            <w:tcW w:w="106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4</w:t>
            </w:r>
          </w:p>
        </w:tc>
        <w:tc>
          <w:tcPr>
            <w:tcW w:w="1080" w:type="dxa"/>
            <w:vAlign w:val="bottom"/>
            <w:gridSpan w:val="3"/>
            <w:shd w:val="clear" w:color="auto" w:fill="D2EEF5"/>
          </w:tcPr>
          <w:p>
            <w:pPr>
              <w:jc w:val="right"/>
              <w:ind w:right="180"/>
              <w:spacing w:after="0"/>
              <w:rPr>
                <w:sz w:val="20"/>
                <w:szCs w:val="20"/>
                <w:color w:val="auto"/>
              </w:rPr>
            </w:pPr>
            <w:r>
              <w:rPr>
                <w:rFonts w:ascii="Arial" w:cs="Arial" w:eastAsia="Arial" w:hAnsi="Arial"/>
                <w:sz w:val="16"/>
                <w:szCs w:val="16"/>
                <w:color w:val="auto"/>
              </w:rPr>
              <w:t>17</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color w:val="auto"/>
              </w:rPr>
              <w:t>8</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Decreased appetite</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40"/>
        </w:trPr>
        <w:tc>
          <w:tcPr>
            <w:tcW w:w="4600" w:type="dxa"/>
            <w:vAlign w:val="bottom"/>
            <w:gridSpan w:val="2"/>
            <w:shd w:val="clear" w:color="auto" w:fill="D2EEF5"/>
          </w:tcPr>
          <w:p>
            <w:pPr>
              <w:ind w:left="20"/>
              <w:spacing w:after="0"/>
              <w:rPr>
                <w:sz w:val="20"/>
                <w:szCs w:val="20"/>
                <w:color w:val="auto"/>
              </w:rPr>
            </w:pPr>
            <w:r>
              <w:rPr>
                <w:rFonts w:ascii="Arial" w:cs="Arial" w:eastAsia="Arial" w:hAnsi="Arial"/>
                <w:sz w:val="16"/>
                <w:szCs w:val="16"/>
                <w:color w:val="auto"/>
              </w:rPr>
              <w:t>Neutropenia</w:t>
            </w:r>
          </w:p>
        </w:tc>
        <w:tc>
          <w:tcPr>
            <w:tcW w:w="106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shd w:val="clear" w:color="auto" w:fill="D2EEF5"/>
          </w:tcPr>
          <w:p>
            <w:pPr>
              <w:jc w:val="right"/>
              <w:ind w:right="180"/>
              <w:spacing w:after="0"/>
              <w:rPr>
                <w:sz w:val="20"/>
                <w:szCs w:val="20"/>
                <w:color w:val="auto"/>
              </w:rPr>
            </w:pPr>
            <w:r>
              <w:rPr>
                <w:rFonts w:ascii="Arial" w:cs="Arial" w:eastAsia="Arial" w:hAnsi="Arial"/>
                <w:sz w:val="16"/>
                <w:szCs w:val="16"/>
                <w:color w:val="auto"/>
              </w:rPr>
              <w:t>8</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color w:val="auto"/>
              </w:rPr>
              <w:t>8</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Liver abscess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40"/>
        </w:trPr>
        <w:tc>
          <w:tcPr>
            <w:tcW w:w="4600" w:type="dxa"/>
            <w:vAlign w:val="bottom"/>
            <w:gridSpan w:val="2"/>
            <w:shd w:val="clear" w:color="auto" w:fill="D2EEF5"/>
          </w:tcPr>
          <w:p>
            <w:pPr>
              <w:ind w:left="20"/>
              <w:spacing w:after="0"/>
              <w:rPr>
                <w:sz w:val="20"/>
                <w:szCs w:val="20"/>
                <w:color w:val="auto"/>
              </w:rPr>
            </w:pPr>
            <w:r>
              <w:rPr>
                <w:rFonts w:ascii="Arial" w:cs="Arial" w:eastAsia="Arial" w:hAnsi="Arial"/>
                <w:sz w:val="16"/>
                <w:szCs w:val="16"/>
                <w:color w:val="auto"/>
              </w:rPr>
              <w:t>Hepatic infection</w:t>
            </w:r>
          </w:p>
        </w:tc>
        <w:tc>
          <w:tcPr>
            <w:tcW w:w="106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shd w:val="clear" w:color="auto" w:fill="D2EEF5"/>
          </w:tcPr>
          <w:p>
            <w:pPr>
              <w:jc w:val="right"/>
              <w:ind w:right="180"/>
              <w:spacing w:after="0"/>
              <w:rPr>
                <w:sz w:val="20"/>
                <w:szCs w:val="20"/>
                <w:color w:val="auto"/>
              </w:rPr>
            </w:pPr>
            <w:r>
              <w:rPr>
                <w:rFonts w:ascii="Arial" w:cs="Arial" w:eastAsia="Arial" w:hAnsi="Arial"/>
                <w:sz w:val="16"/>
                <w:szCs w:val="16"/>
                <w:color w:val="auto"/>
              </w:rPr>
              <w:t>8</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color w:val="auto"/>
              </w:rPr>
              <w:t>8</w:t>
            </w:r>
          </w:p>
        </w:tc>
      </w:tr>
      <w:tr>
        <w:trPr>
          <w:trHeight w:val="224"/>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Cholangitis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40"/>
        </w:trPr>
        <w:tc>
          <w:tcPr>
            <w:tcW w:w="4600" w:type="dxa"/>
            <w:vAlign w:val="bottom"/>
            <w:gridSpan w:val="2"/>
            <w:shd w:val="clear" w:color="auto" w:fill="D2EEF5"/>
          </w:tcPr>
          <w:p>
            <w:pPr>
              <w:ind w:left="20"/>
              <w:spacing w:after="0"/>
              <w:rPr>
                <w:sz w:val="20"/>
                <w:szCs w:val="20"/>
                <w:color w:val="auto"/>
              </w:rPr>
            </w:pPr>
            <w:r>
              <w:rPr>
                <w:rFonts w:ascii="Arial" w:cs="Arial" w:eastAsia="Arial" w:hAnsi="Arial"/>
                <w:sz w:val="16"/>
                <w:szCs w:val="16"/>
                <w:color w:val="auto"/>
              </w:rPr>
              <w:t>Embolism</w:t>
            </w:r>
          </w:p>
        </w:tc>
        <w:tc>
          <w:tcPr>
            <w:tcW w:w="106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shd w:val="clear" w:color="auto" w:fill="D2EEF5"/>
          </w:tcPr>
          <w:p>
            <w:pPr>
              <w:jc w:val="right"/>
              <w:ind w:right="180"/>
              <w:spacing w:after="0"/>
              <w:rPr>
                <w:sz w:val="20"/>
                <w:szCs w:val="20"/>
                <w:color w:val="auto"/>
              </w:rPr>
            </w:pPr>
            <w:r>
              <w:rPr>
                <w:rFonts w:ascii="Arial" w:cs="Arial" w:eastAsia="Arial" w:hAnsi="Arial"/>
                <w:sz w:val="16"/>
                <w:szCs w:val="16"/>
                <w:color w:val="auto"/>
              </w:rPr>
              <w:t>8</w:t>
            </w:r>
          </w:p>
        </w:tc>
        <w:tc>
          <w:tcPr>
            <w:tcW w:w="820" w:type="dxa"/>
            <w:vAlign w:val="bottom"/>
            <w:gridSpan w:val="2"/>
            <w:shd w:val="clear" w:color="auto" w:fill="D2EEF5"/>
          </w:tcPr>
          <w:p>
            <w:pPr>
              <w:jc w:val="right"/>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D2EEF5"/>
          </w:tcPr>
          <w:p>
            <w:pPr>
              <w:jc w:val="right"/>
              <w:ind w:right="20"/>
              <w:spacing w:after="0"/>
              <w:rPr>
                <w:sz w:val="20"/>
                <w:szCs w:val="20"/>
                <w:color w:val="auto"/>
              </w:rPr>
            </w:pPr>
            <w:r>
              <w:rPr>
                <w:rFonts w:ascii="Arial" w:cs="Arial" w:eastAsia="Arial" w:hAnsi="Arial"/>
                <w:sz w:val="16"/>
                <w:szCs w:val="16"/>
                <w:color w:val="auto"/>
              </w:rPr>
              <w:t>8</w:t>
            </w:r>
          </w:p>
        </w:tc>
      </w:tr>
    </w:tbl>
    <w:p>
      <w:pPr>
        <w:spacing w:after="0" w:line="22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Activity Data Summary</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first stage of the trial enrolled 24 patients and 22 of those patients were considered evaluable.</w:t>
      </w:r>
    </w:p>
    <w:p>
      <w:pPr>
        <w:spacing w:after="0" w:line="118"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Nine PRs confirmed by RECIST 1.1 were observed leading to an ORR of 37.5%, and 22 of the 24 patients evaluated have had stable disease or better with a decline in tumor burden leading to a Disease Control Rate (DCR) of 92%. PRs were observed in all four tumor sub-types types (intrahepatic cholangiocarcinoma, extrahepatic cholangiocarcinoma, gallbladder cancer, and ampullary carcinoma).</w:t>
      </w:r>
    </w:p>
    <w:p>
      <w:pPr>
        <w:spacing w:after="0" w:line="68" w:lineRule="exact"/>
        <w:rPr>
          <w:sz w:val="20"/>
          <w:szCs w:val="20"/>
          <w:color w:val="auto"/>
        </w:rPr>
      </w:pPr>
    </w:p>
    <w:p>
      <w:pPr>
        <w:ind w:firstLine="490"/>
        <w:spacing w:after="0" w:line="260" w:lineRule="auto"/>
        <w:rPr>
          <w:sz w:val="20"/>
          <w:szCs w:val="20"/>
          <w:color w:val="auto"/>
        </w:rPr>
      </w:pPr>
      <w:r>
        <w:rPr>
          <w:rFonts w:ascii="Arial" w:cs="Arial" w:eastAsia="Arial" w:hAnsi="Arial"/>
          <w:sz w:val="20"/>
          <w:szCs w:val="20"/>
          <w:color w:val="auto"/>
        </w:rPr>
        <w:t>After a median follow up of approximately 12 months, the median progression free survival (“PFS”) was 9.4 months, median duration of response (“DOR”) was 6.9 months and median overall survival (“OS”) was 12.5 months.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9360"/>
          </w:cols>
          <w:pgMar w:left="1440" w:top="984" w:right="1440" w:bottom="161" w:gutter="0" w:footer="0" w:header="0"/>
        </w:sectPr>
      </w:pPr>
    </w:p>
    <w:bookmarkStart w:id="10" w:name="page11"/>
    <w:bookmarkEnd w:id="10"/>
    <w:p>
      <w:pPr>
        <w:ind w:right="220" w:firstLine="490"/>
        <w:spacing w:after="0" w:line="262" w:lineRule="auto"/>
        <w:rPr>
          <w:sz w:val="20"/>
          <w:szCs w:val="20"/>
          <w:color w:val="auto"/>
        </w:rPr>
      </w:pPr>
      <w:r>
        <w:rPr>
          <w:rFonts w:ascii="Arial" w:cs="Arial" w:eastAsia="Arial" w:hAnsi="Arial"/>
          <w:sz w:val="20"/>
          <w:szCs w:val="20"/>
          <w:color w:val="auto"/>
        </w:rPr>
        <w:t>For reference, one regimen that has been studied in patients with advanced BTC is the three- drug combination FOLFOX. FOLFOX demonstrated an ORR of 4.9%, a median PFS of 4.0 months, and a median OS of 6.2 months in a randomized study against best supportive care.</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waterfall plot below depicts the best response for the 22 patients evaluable in the trial.</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Phase 2 Data</w:t>
      </w:r>
    </w:p>
    <w:p>
      <w:pPr>
        <w:spacing w:after="0" w:line="30"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tovecimig + paclitaxel in BTC</w:t>
      </w:r>
    </w:p>
    <w:p>
      <w:pPr>
        <w:jc w:val="center"/>
        <w:ind w:right="-479"/>
        <w:spacing w:after="0"/>
        <w:rPr>
          <w:sz w:val="20"/>
          <w:szCs w:val="20"/>
          <w:color w:val="auto"/>
        </w:rPr>
      </w:pPr>
      <w:r>
        <w:rPr>
          <w:rFonts w:ascii="Arial" w:cs="Arial" w:eastAsia="Arial" w:hAnsi="Arial"/>
          <w:sz w:val="20"/>
          <w:szCs w:val="20"/>
          <w:b w:val="1"/>
          <w:bCs w:val="1"/>
          <w:color w:val="auto"/>
        </w:rPr>
        <w:t>Best Response by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147320</wp:posOffset>
            </wp:positionV>
            <wp:extent cx="5538470" cy="250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5538470"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2/3 Trial of Tovecimig with Paclitaxel in BTC – United States</w:t>
      </w:r>
    </w:p>
    <w:p>
      <w:pPr>
        <w:spacing w:after="0" w:line="244" w:lineRule="exact"/>
        <w:rPr>
          <w:sz w:val="20"/>
          <w:szCs w:val="20"/>
          <w:color w:val="auto"/>
        </w:rPr>
      </w:pPr>
    </w:p>
    <w:p>
      <w:pPr>
        <w:ind w:right="140" w:firstLine="490"/>
        <w:spacing w:after="0" w:line="250" w:lineRule="auto"/>
        <w:rPr>
          <w:sz w:val="20"/>
          <w:szCs w:val="20"/>
          <w:color w:val="auto"/>
        </w:rPr>
      </w:pPr>
      <w:r>
        <w:rPr>
          <w:rFonts w:ascii="Arial" w:cs="Arial" w:eastAsia="Arial" w:hAnsi="Arial"/>
          <w:sz w:val="20"/>
          <w:szCs w:val="20"/>
          <w:color w:val="auto"/>
        </w:rPr>
        <w:t>Following conversations with the FDA, we submitted a protocol for a randomized Phase 2/3 trial for tovecimig in combination with paclitaxel in adult patients with unresectable, advanced, metastatic or recurrent biliary tract cancers who have received one prior systemic chemotherapy regimen. The trial is designed to assess the safety and efficacy of the combination of tovecimig and paclitaxel versus paclitaxel alone. A schema of the trial design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5943600" cy="2472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5943600" cy="247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00" w:firstLine="490"/>
        <w:spacing w:after="0" w:line="254" w:lineRule="auto"/>
        <w:rPr>
          <w:sz w:val="20"/>
          <w:szCs w:val="20"/>
          <w:color w:val="auto"/>
        </w:rPr>
      </w:pPr>
      <w:r>
        <w:rPr>
          <w:rFonts w:ascii="Arial" w:cs="Arial" w:eastAsia="Arial" w:hAnsi="Arial"/>
          <w:sz w:val="20"/>
          <w:szCs w:val="20"/>
          <w:color w:val="auto"/>
        </w:rPr>
        <w:t>The trial was fully enrolled in August 2024 with 168 patients randomized in a 2:1 ratio to receive tovecimig plus paclitaxel (n=111) or paclitaxel alone (n=57). The primary endpoint of the trial was ORR and the secondary endpoints include PFS, OS, and DOR. Patients who were randomized to receive paclitaxel and progressed on their regimen could cross over to the tovecimig plus paclitaxel arm after</w:t>
      </w:r>
    </w:p>
    <w:p>
      <w:pPr>
        <w:sectPr>
          <w:pgSz w:w="12240" w:h="15840" w:orient="portrait"/>
          <w:cols w:equalWidth="0" w:num="1">
            <w:col w:w="9360"/>
          </w:cols>
          <w:pgMar w:left="1440" w:top="986" w:right="1440" w:bottom="161"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9360"/>
          </w:cols>
          <w:pgMar w:left="1440" w:top="986" w:right="1440" w:bottom="161" w:gutter="0" w:footer="0" w:header="0"/>
          <w:type w:val="continuous"/>
        </w:sectPr>
      </w:pPr>
    </w:p>
    <w:bookmarkStart w:id="11" w:name="page12"/>
    <w:bookmarkEnd w:id="11"/>
    <w:p>
      <w:pPr>
        <w:ind w:right="40"/>
        <w:spacing w:after="0" w:line="253" w:lineRule="auto"/>
        <w:rPr>
          <w:sz w:val="20"/>
          <w:szCs w:val="20"/>
          <w:color w:val="auto"/>
        </w:rPr>
      </w:pPr>
      <w:r>
        <w:rPr>
          <w:rFonts w:ascii="Arial" w:cs="Arial" w:eastAsia="Arial" w:hAnsi="Arial"/>
          <w:sz w:val="20"/>
          <w:szCs w:val="20"/>
          <w:color w:val="auto"/>
        </w:rPr>
        <w:t>progression on paclitaxel if they still met the enrollment criteria for the study. To adjust for this treatment crossover, OS will be evaluated using the rank preserving structural failure time (“RPSFT”) method, as well as on an intent-to-treat basis. A detailed description of the trial can be found on www.clinicaltrials.gov (Identifier NCT 05506943).</w:t>
      </w:r>
    </w:p>
    <w:p>
      <w:pPr>
        <w:spacing w:after="0" w:line="70" w:lineRule="exact"/>
        <w:rPr>
          <w:sz w:val="20"/>
          <w:szCs w:val="20"/>
          <w:color w:val="auto"/>
        </w:rPr>
      </w:pPr>
    </w:p>
    <w:p>
      <w:pPr>
        <w:jc w:val="both"/>
        <w:ind w:right="200" w:firstLine="490"/>
        <w:spacing w:after="0" w:line="261" w:lineRule="auto"/>
        <w:rPr>
          <w:sz w:val="20"/>
          <w:szCs w:val="20"/>
          <w:color w:val="auto"/>
        </w:rPr>
      </w:pPr>
      <w:r>
        <w:rPr>
          <w:rFonts w:ascii="Arial" w:cs="Arial" w:eastAsia="Arial" w:hAnsi="Arial"/>
          <w:sz w:val="20"/>
          <w:szCs w:val="20"/>
          <w:color w:val="auto"/>
        </w:rPr>
        <w:t>In April 2025, we announced that the trial met its primary endpoint of ORR with a response rate of 17.1% for tovecimig in combination with paclitaxel, including one complete response, compared to 5.3% ORR for paclitaxel alone, with a p-value of 0.031.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50165</wp:posOffset>
            </wp:positionV>
            <wp:extent cx="5615940" cy="2624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561594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waterfall plot below depicts the best overall response for patients evaluated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87630</wp:posOffset>
            </wp:positionV>
            <wp:extent cx="5638165" cy="2826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5638165" cy="282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firstLine="490"/>
        <w:spacing w:after="0" w:line="282" w:lineRule="auto"/>
        <w:rPr>
          <w:sz w:val="20"/>
          <w:szCs w:val="20"/>
          <w:color w:val="auto"/>
        </w:rPr>
      </w:pPr>
      <w:r>
        <w:rPr>
          <w:rFonts w:ascii="Arial" w:cs="Arial" w:eastAsia="Arial" w:hAnsi="Arial"/>
          <w:sz w:val="20"/>
          <w:szCs w:val="20"/>
          <w:color w:val="auto"/>
        </w:rPr>
        <w:t>We expect to report additional top-line data from this study in April 2026, including progression-free survival and overall 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2 Trial of Tovecimig in CRC – United States</w:t>
      </w:r>
    </w:p>
    <w:p>
      <w:pPr>
        <w:spacing w:after="0" w:line="124" w:lineRule="exact"/>
        <w:rPr>
          <w:sz w:val="20"/>
          <w:szCs w:val="20"/>
          <w:color w:val="auto"/>
        </w:rPr>
      </w:pPr>
    </w:p>
    <w:p>
      <w:pPr>
        <w:ind w:right="320" w:firstLine="490"/>
        <w:spacing w:after="0" w:line="282" w:lineRule="auto"/>
        <w:rPr>
          <w:sz w:val="20"/>
          <w:szCs w:val="20"/>
          <w:color w:val="auto"/>
        </w:rPr>
      </w:pPr>
      <w:r>
        <w:rPr>
          <w:rFonts w:ascii="Arial" w:cs="Arial" w:eastAsia="Arial" w:hAnsi="Arial"/>
          <w:sz w:val="20"/>
          <w:szCs w:val="20"/>
          <w:color w:val="auto"/>
        </w:rPr>
        <w:t>In January 2026, we presented data at ASCO GI from tovecimig’s Phase 2 monotherapy study in patients with advanced, metastatic CRC treated in the third- and fourth-line settings. Tovecimig</w:t>
      </w:r>
    </w:p>
    <w:p>
      <w:pPr>
        <w:sectPr>
          <w:pgSz w:w="12240" w:h="15840" w:orient="portrait"/>
          <w:cols w:equalWidth="0" w:num="1">
            <w:col w:w="9360"/>
          </w:cols>
          <w:pgMar w:left="1440" w:top="988" w:right="1440" w:bottom="172"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9360"/>
          </w:cols>
          <w:pgMar w:left="1440" w:top="988" w:right="1440" w:bottom="172" w:gutter="0" w:footer="0" w:header="0"/>
          <w:type w:val="continuous"/>
        </w:sectPr>
      </w:pPr>
    </w:p>
    <w:bookmarkStart w:id="12" w:name="page13"/>
    <w:bookmarkEnd w:id="12"/>
    <w:p>
      <w:pPr>
        <w:ind w:right="60"/>
        <w:spacing w:after="0" w:line="248" w:lineRule="auto"/>
        <w:rPr>
          <w:sz w:val="20"/>
          <w:szCs w:val="20"/>
          <w:color w:val="auto"/>
        </w:rPr>
      </w:pPr>
      <w:r>
        <w:rPr>
          <w:rFonts w:ascii="Arial" w:cs="Arial" w:eastAsia="Arial" w:hAnsi="Arial"/>
          <w:sz w:val="20"/>
          <w:szCs w:val="20"/>
          <w:color w:val="auto"/>
        </w:rPr>
        <w:t>demonstrated monotherapy activity, with an overall response rate of 5% (2 out of 40 patients), in heavily pre- treated patients, all of whom had previously been treated with bevacizumab (~51% had been treated with two or more prior rounds of bevacizumab). Tovecimig also demonstrated a DCR of 68% (27 out of 40), median PFS of 3.9 months and median OS of 10.2 months. Although DLL4 expression on colorectal tumors is a negative prognostic factor, the data indicate that patients with DLL4-positive tumors did better with tovecimig therapy than patients with DLL4-negative tumors.</w:t>
      </w:r>
    </w:p>
    <w:p>
      <w:pPr>
        <w:spacing w:after="0" w:line="74"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Tovecimig’s safety profile was generally consistent with prior studies with hypertension as the most common treatment-emergent adverse event, all of which occurred in patients with a prior history of hypertension.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Development Plans for Tovecimig</w:t>
      </w:r>
    </w:p>
    <w:p>
      <w:pPr>
        <w:spacing w:after="0" w:line="235" w:lineRule="exact"/>
        <w:rPr>
          <w:sz w:val="20"/>
          <w:szCs w:val="20"/>
          <w:color w:val="auto"/>
        </w:rPr>
      </w:pPr>
    </w:p>
    <w:p>
      <w:pPr>
        <w:ind w:right="100" w:firstLine="451"/>
        <w:spacing w:after="0" w:line="253" w:lineRule="auto"/>
        <w:rPr>
          <w:sz w:val="20"/>
          <w:szCs w:val="20"/>
          <w:color w:val="auto"/>
        </w:rPr>
      </w:pPr>
      <w:r>
        <w:rPr>
          <w:rFonts w:ascii="Arial" w:cs="Arial" w:eastAsia="Arial" w:hAnsi="Arial"/>
          <w:sz w:val="20"/>
          <w:szCs w:val="20"/>
          <w:color w:val="auto"/>
        </w:rPr>
        <w:t>We are preparing for a Phase 2 basket study of tovecimig in a broader set of patients with DLL4+ cancers, potentially including gastric, ovarian, renal, hepatocellular, and colorectal cancers. We expect to initiate the study mid-2026 following a comprehensive analysis of the complete data set from the COMPANION-002 BTC trial.</w:t>
      </w:r>
    </w:p>
    <w:p>
      <w:pPr>
        <w:spacing w:after="0" w:line="180" w:lineRule="exact"/>
        <w:rPr>
          <w:sz w:val="20"/>
          <w:szCs w:val="20"/>
          <w:color w:val="auto"/>
        </w:rPr>
      </w:pPr>
    </w:p>
    <w:p>
      <w:pPr>
        <w:ind w:right="100" w:firstLine="490"/>
        <w:spacing w:after="0" w:line="282" w:lineRule="auto"/>
        <w:rPr>
          <w:sz w:val="20"/>
          <w:szCs w:val="20"/>
          <w:color w:val="auto"/>
        </w:rPr>
      </w:pPr>
      <w:r>
        <w:rPr>
          <w:rFonts w:ascii="Arial" w:cs="Arial" w:eastAsia="Arial" w:hAnsi="Arial"/>
          <w:sz w:val="20"/>
          <w:szCs w:val="20"/>
          <w:color w:val="auto"/>
        </w:rPr>
        <w:t>In addition, we are developing a plan to study the combination of tovecimig with our novel bispecific checkpoint inhibitor, CTX-8371, and with other checkpoint inhibitors.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CTX-471 (CD137 or 4-1BB agonist antibody)</w:t>
      </w:r>
    </w:p>
    <w:p>
      <w:pPr>
        <w:spacing w:after="0" w:line="24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CTX-471, our monoclonal antibody product candidate, is a fully human, IgG4 monoclonal antibody that is an agonist of CD137, a key co-stimulatory receptor on immune cells. Binding of CTX-471 to CD137 has been observed to lead to ligand-stimulated activation of T-cells and NK cells. In treated mice, dosing with CTX-471 led to extensive reprogramming of the tumor microenvironment, including increased recruitment of immune cells, reversal of exhausted cytotoxic CD8+ T-cells, reductions in immunosuppressive regulatory T-cells and reductions in immunosuppressive tumor-associated macrophages. Long after the completion of the treatment with CTX-471, a period equal to eight half- lives of the antibody, treated mice exhibited immune memory that prevented reestablishment of the same tumor.</w:t>
      </w:r>
    </w:p>
    <w:p>
      <w:pPr>
        <w:spacing w:after="0" w:line="196"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The CD137 antigenic site recognized by CTX-471 does not block the binding of CD137 ligand and is differentiated from the site recognized by CD137 antibodies from competitors. We designed the antibody using different backbones and chose to use a human IgG4 backbone for CTX-471 to enable engagement of Fc receptors Fc RI and Fc RIIb to facilitate CD137 cross-linking while avoiding binding to Fc RIIIa and depletion of immune effector cells.</w:t>
      </w:r>
    </w:p>
    <w:p>
      <w:pPr>
        <w:spacing w:after="0" w:line="184" w:lineRule="exact"/>
        <w:rPr>
          <w:sz w:val="20"/>
          <w:szCs w:val="20"/>
          <w:color w:val="auto"/>
        </w:rPr>
      </w:pPr>
    </w:p>
    <w:p>
      <w:pPr>
        <w:ind w:right="40" w:firstLine="490"/>
        <w:spacing w:after="0" w:line="238" w:lineRule="auto"/>
        <w:rPr>
          <w:sz w:val="20"/>
          <w:szCs w:val="20"/>
          <w:color w:val="auto"/>
        </w:rPr>
      </w:pPr>
      <w:r>
        <w:rPr>
          <w:rFonts w:ascii="Arial" w:cs="Arial" w:eastAsia="Arial" w:hAnsi="Arial"/>
          <w:sz w:val="20"/>
          <w:szCs w:val="20"/>
          <w:color w:val="auto"/>
        </w:rPr>
        <w:t>Immune cell depletion experiments showed that the activity of CTX-471 required the presence of CD4+ T- cells, CD8+ T-cells, and NK cells, indicating a coordinated involvement of both innate and adaptive immune cells. Encouragingly, treatment of tumors in mice with CTX-471 led to a marked reprogramming of the immune component of the tumor microenvironment. We also observed that tumors treated with CTX-471 had an approximate two-fold reduction in the number of immunosuppressive tumor-associated macrophages.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1 Clinical Trial of CTX-471</w:t>
      </w:r>
    </w:p>
    <w:p>
      <w:pPr>
        <w:spacing w:after="0" w:line="244" w:lineRule="exact"/>
        <w:rPr>
          <w:sz w:val="20"/>
          <w:szCs w:val="20"/>
          <w:color w:val="auto"/>
        </w:rPr>
      </w:pPr>
    </w:p>
    <w:p>
      <w:pPr>
        <w:ind w:right="360" w:firstLine="490"/>
        <w:spacing w:after="0" w:line="250" w:lineRule="auto"/>
        <w:rPr>
          <w:sz w:val="20"/>
          <w:szCs w:val="20"/>
          <w:color w:val="auto"/>
        </w:rPr>
      </w:pPr>
      <w:r>
        <w:rPr>
          <w:rFonts w:ascii="Arial" w:cs="Arial" w:eastAsia="Arial" w:hAnsi="Arial"/>
          <w:sz w:val="20"/>
          <w:szCs w:val="20"/>
          <w:color w:val="auto"/>
        </w:rPr>
        <w:t>In July 2019, we initiated a Phase 1 trial evaluating the safety and tolerability of CTX-471 as a monotherapy in patients with solid tumors who were previously treated with PD- 1 or PD-L1 immune checkpoint inhibitors and subsequently relapsed or progressed after a period of stable disease. The design of this trial included a Phase 1a dose escalation stage followed by a Phase 1b dose expansion stage.</w:t>
      </w:r>
    </w:p>
    <w:p>
      <w:pPr>
        <w:spacing w:after="0" w:line="185" w:lineRule="exact"/>
        <w:rPr>
          <w:sz w:val="20"/>
          <w:szCs w:val="20"/>
          <w:color w:val="auto"/>
        </w:rPr>
      </w:pPr>
    </w:p>
    <w:p>
      <w:pPr>
        <w:ind w:right="40" w:firstLine="490"/>
        <w:spacing w:after="0" w:line="251" w:lineRule="auto"/>
        <w:rPr>
          <w:sz w:val="20"/>
          <w:szCs w:val="20"/>
          <w:color w:val="auto"/>
        </w:rPr>
      </w:pPr>
      <w:r>
        <w:rPr>
          <w:rFonts w:ascii="Arial" w:cs="Arial" w:eastAsia="Arial" w:hAnsi="Arial"/>
          <w:sz w:val="20"/>
          <w:szCs w:val="20"/>
          <w:color w:val="auto"/>
        </w:rPr>
        <w:t>In the Phase 1a dose escalation, CTX-471 was observed to be generally well-tolerated in the Phase 1a stage of the trial. The dose-limiting toxicity was thrombocytopenia. Based on these results, 0.6 mg/kg was determined to be the maximum tolerated dose.</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Phase 1b</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9360"/>
          </w:cols>
          <w:pgMar w:left="1440" w:top="988" w:right="1440" w:bottom="161" w:gutter="0" w:footer="0" w:header="0"/>
        </w:sectPr>
      </w:pPr>
    </w:p>
    <w:bookmarkStart w:id="13" w:name="page14"/>
    <w:bookmarkEnd w:id="13"/>
    <w:p>
      <w:pPr>
        <w:ind w:right="200" w:firstLine="490"/>
        <w:spacing w:after="0" w:line="245" w:lineRule="auto"/>
        <w:rPr>
          <w:sz w:val="20"/>
          <w:szCs w:val="20"/>
          <w:color w:val="auto"/>
        </w:rPr>
      </w:pPr>
      <w:r>
        <w:rPr>
          <w:rFonts w:ascii="Arial" w:cs="Arial" w:eastAsia="Arial" w:hAnsi="Arial"/>
          <w:sz w:val="20"/>
          <w:szCs w:val="20"/>
          <w:color w:val="auto"/>
        </w:rPr>
        <w:t>In a Phase 1b monotherapy study, we evaluated CTX-471 in patients with solid tumors that had progressed after at least three months on an approved PD-1 or PD-L1 inhibitor. 60 patients with 17 different cancers were enrolled in the trial. Initial results reported from the study included five clinical responses, including a durable PR in a patient with SCLC that converted to a complete response (as confirmed by PET scan) and four additional PRs (three confirmed by RECIST 1.1 and one unconfirmed) in patients with melanoma (3 out of 11 patients) and mesothelioma (1 out of 4 patients). The ORR in the subset of patients with advanced melanoma was 27% (3 of 11). There have been nine SAEs related to CTX-471 in the dose expansion stage of the trial. All nine events resolved. Data were presented at the American Society of Clinical Oncology (“ASCO”) Annual Meeting in June 2024.</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responses observed are described below:</w:t>
      </w:r>
    </w:p>
    <w:p>
      <w:pPr>
        <w:spacing w:after="0" w:line="252" w:lineRule="exact"/>
        <w:rPr>
          <w:sz w:val="20"/>
          <w:szCs w:val="20"/>
          <w:color w:val="auto"/>
        </w:rPr>
      </w:pPr>
    </w:p>
    <w:p>
      <w:pPr>
        <w:ind w:left="840" w:right="200" w:hanging="351"/>
        <w:spacing w:after="0" w:line="254" w:lineRule="auto"/>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Three PRs were observed in patients with metastatic melanoma among 11 patients with melanoma in the study. Two of the PRs were confirmed and one was unconfirmed by RECIST 1.1.</w:t>
      </w:r>
    </w:p>
    <w:p>
      <w:pPr>
        <w:spacing w:after="0" w:line="1" w:lineRule="exact"/>
        <w:rPr>
          <w:rFonts w:ascii="Arial" w:cs="Arial" w:eastAsia="Arial" w:hAnsi="Arial"/>
          <w:sz w:val="20"/>
          <w:szCs w:val="20"/>
          <w:color w:val="auto"/>
        </w:rPr>
      </w:pPr>
    </w:p>
    <w:p>
      <w:pPr>
        <w:ind w:left="840" w:hanging="351"/>
        <w:spacing w:after="0"/>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PR was observed in a patient with mesothelioma and confirmed by RECIST 1.1.</w:t>
      </w:r>
    </w:p>
    <w:p>
      <w:pPr>
        <w:spacing w:after="0" w:line="5" w:lineRule="exact"/>
        <w:rPr>
          <w:rFonts w:ascii="Arial" w:cs="Arial" w:eastAsia="Arial" w:hAnsi="Arial"/>
          <w:sz w:val="20"/>
          <w:szCs w:val="20"/>
          <w:color w:val="auto"/>
        </w:rPr>
      </w:pPr>
    </w:p>
    <w:p>
      <w:pPr>
        <w:ind w:left="840" w:right="80" w:hanging="351"/>
        <w:spacing w:after="0" w:line="233" w:lineRule="auto"/>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CR was observed in a patient with advanced SCLC who was previously treated with the carboplatin/etoposide and atezolizumab (a PD-L1 blocker) regimen in the first line followed by a treatment with nivolumab (a PD-1 blocker) in the second line. After progression on prior regimens this patient joined the trial and had a PR at week 17 which was confirmed at week 25. This patient was dosed with CTX-471 for more than three years with a durable PR, and in Q4 2023, following tumor regression observed by CT-Scan, the patient was tested by PET scan and a CR was determined. Below is a series of CT scan images from this patient of the largest mass (RUL Lung) which was ~4 cm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278130</wp:posOffset>
            </wp:positionV>
            <wp:extent cx="5365115" cy="1572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5365115" cy="157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Biomarker discovery</w:t>
      </w: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In November 2024, we presented novel biomarker data associated with CTX-471 at the 39th</w:t>
      </w:r>
    </w:p>
    <w:p>
      <w:pPr>
        <w:spacing w:after="0" w:line="26" w:lineRule="exact"/>
        <w:rPr>
          <w:sz w:val="20"/>
          <w:szCs w:val="20"/>
          <w:color w:val="auto"/>
        </w:rPr>
      </w:pPr>
    </w:p>
    <w:p>
      <w:pPr>
        <w:ind w:right="40" w:firstLine="1"/>
        <w:spacing w:after="0" w:line="241" w:lineRule="auto"/>
        <w:rPr>
          <w:sz w:val="20"/>
          <w:szCs w:val="20"/>
          <w:color w:val="auto"/>
        </w:rPr>
      </w:pPr>
      <w:r>
        <w:rPr>
          <w:rFonts w:ascii="Arial" w:cs="Arial" w:eastAsia="Arial" w:hAnsi="Arial"/>
          <w:sz w:val="20"/>
          <w:szCs w:val="20"/>
          <w:color w:val="auto"/>
        </w:rPr>
        <w:t>Society for Immunotherapy of Cancer (“SITC”) Annual Meeting demonstrating a correlation between the levels of neural cell adhesion molecule (“NCAM” or CD56) in baseline tumor cell biopsies and disease control in patients treated with CTX-471. To measure pharmacodynamic effects, comparisons were made between pre- and post- CTX-471 treatment. To survey response biomarkers, values from baseline samples obtained from patients with tumors showing complete or partial responses as well as stable disease were compared with tumors showing progressive disease. We hypothesize that NCAM facilitates responses to CTX-471 by enriching for activated NK cells expressing the CTX-471 target, CD137. The dataset shows these effects to be specific for NCAM expressing lymphocytes such as NK cells and is not observed in other lymphocyte subsets such as CD8 T cells. These findings are novel in a clinical setting and support potential use of NCAM as a selection marker.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Development Plans for CTX-471</w:t>
      </w:r>
    </w:p>
    <w:p>
      <w:pPr>
        <w:spacing w:after="0" w:line="244" w:lineRule="exact"/>
        <w:rPr>
          <w:sz w:val="20"/>
          <w:szCs w:val="20"/>
          <w:color w:val="auto"/>
        </w:rPr>
      </w:pPr>
    </w:p>
    <w:p>
      <w:pPr>
        <w:ind w:right="500" w:firstLine="490"/>
        <w:spacing w:after="0" w:line="282" w:lineRule="auto"/>
        <w:rPr>
          <w:sz w:val="20"/>
          <w:szCs w:val="20"/>
          <w:color w:val="auto"/>
        </w:rPr>
      </w:pPr>
      <w:r>
        <w:rPr>
          <w:rFonts w:ascii="Arial" w:cs="Arial" w:eastAsia="Arial" w:hAnsi="Arial"/>
          <w:sz w:val="20"/>
          <w:szCs w:val="20"/>
          <w:color w:val="auto"/>
        </w:rPr>
        <w:t>Based on the results of the monotherapy and combination arms of the Phase 1 trial, we plan to initiate a Phase 2 study of CTX-471 using NCAM as a biomarker in mid-2026.</w:t>
      </w:r>
    </w:p>
    <w:p>
      <w:pPr>
        <w:sectPr>
          <w:pgSz w:w="12240" w:h="15840" w:orient="portrait"/>
          <w:cols w:equalWidth="0" w:num="1">
            <w:col w:w="9360"/>
          </w:cols>
          <w:pgMar w:left="1440" w:top="988" w:right="1440" w:bottom="172"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12</w:t>
      </w:r>
    </w:p>
    <w:p>
      <w:pPr>
        <w:sectPr>
          <w:pgSz w:w="12240" w:h="15840" w:orient="portrait"/>
          <w:cols w:equalWidth="0" w:num="1">
            <w:col w:w="9360"/>
          </w:cols>
          <w:pgMar w:left="1440" w:top="988" w:right="1440" w:bottom="172"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u w:val="single" w:color="auto"/>
          <w:color w:val="auto"/>
        </w:rPr>
        <w:t>CTX-8371 (PD-1 x PDL-1 Bispecific Antibody)</w:t>
      </w:r>
    </w:p>
    <w:p>
      <w:pPr>
        <w:spacing w:after="0" w:line="244"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 xml:space="preserve">CTX-8371 is a bispecific antibody that binds to both PD-1 and PD-L1, the targets of well-known and widely used checkpoint inhibitor antibodies. Preclinical studies demonstrate that CTX-8371 has the ability to outperform PD- 1 inhibitors, PD-L1 inhibitors, and combinations of the two to activate T-cells in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assays. In mouse xenografts, treatment with CTX-8371 led to significantly greater tumor growth control and longer survival than treatment with a PD-1 inhibitor alone, a PD-L1 inhibitor alone or the combination of PD-1 and PD-L1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310515</wp:posOffset>
            </wp:positionV>
            <wp:extent cx="1009650" cy="1418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1009650" cy="141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CTX-8371 is a PD-1 x PD-L1 bispecific antibody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PD-1 and PD-L1 Checkpoint Inhibitors</w:t>
      </w:r>
    </w:p>
    <w:p>
      <w:pPr>
        <w:spacing w:after="0" w:line="244" w:lineRule="exact"/>
        <w:rPr>
          <w:sz w:val="20"/>
          <w:szCs w:val="20"/>
          <w:color w:val="auto"/>
        </w:rPr>
      </w:pPr>
    </w:p>
    <w:p>
      <w:pPr>
        <w:ind w:right="80" w:firstLine="490"/>
        <w:spacing w:after="0" w:line="244" w:lineRule="auto"/>
        <w:rPr>
          <w:sz w:val="20"/>
          <w:szCs w:val="20"/>
          <w:color w:val="auto"/>
        </w:rPr>
      </w:pPr>
      <w:r>
        <w:rPr>
          <w:rFonts w:ascii="Arial" w:cs="Arial" w:eastAsia="Arial" w:hAnsi="Arial"/>
          <w:sz w:val="20"/>
          <w:szCs w:val="20"/>
          <w:color w:val="auto"/>
        </w:rPr>
        <w:t>PD-L1 is a surface protein that is overexpressed by over 35% of certain types of cancer, such as melanoma, hepatocellular carcinoma, CRC, and NSCLC. Binding of PD-L1 to its receptor, PD-1, on immune T-cells leads to suppression of cytotoxic CD8+ T-cells preventing immune attack of the tumor. Multiple inhibitors of PD-1 and PD-L1 have been approved as therapies for a broad range of tumors including melanoma, NSCLC, SCLC, head and neck squamous cell cancer, renal cell carcinoma, bladder cancer, gastric cancer, cervical cancer and other cancers with microsatellite instability or mismatch repair deficiency. While PD-1/PD- L1 checkpoint therapies have resulted in remarkable clinical efficacy across multiple cancer types, their efficacy, even in tumors with high immunogenicity, is limited to approximately 20% of patients. Nevertheless, aggregate sales for checkpoint therapies is currently estimated to be approximately $50 billion. There is no approved therapy that combines inhibition of both PD-1 and PD-L1 in the same molecule.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Discovery and Preclinical Activity for CTX-8371</w:t>
      </w:r>
    </w:p>
    <w:p>
      <w:pPr>
        <w:spacing w:after="0" w:line="244" w:lineRule="exact"/>
        <w:rPr>
          <w:sz w:val="20"/>
          <w:szCs w:val="20"/>
          <w:color w:val="auto"/>
        </w:rPr>
      </w:pPr>
    </w:p>
    <w:p>
      <w:pPr>
        <w:ind w:right="120" w:firstLine="490"/>
        <w:spacing w:after="0" w:line="237" w:lineRule="auto"/>
        <w:rPr>
          <w:sz w:val="20"/>
          <w:szCs w:val="20"/>
          <w:color w:val="auto"/>
        </w:rPr>
      </w:pPr>
      <w:r>
        <w:rPr>
          <w:rFonts w:ascii="Arial" w:cs="Arial" w:eastAsia="Arial" w:hAnsi="Arial"/>
          <w:sz w:val="20"/>
          <w:szCs w:val="20"/>
          <w:color w:val="auto"/>
        </w:rPr>
        <w:t>The desire to improve the efficacy of PD-1/PD-L1 inhibitors has sparked multiple attempts to create bispecific antibodies in which one antigen binding site targets PD-1 or PD-L1 and the other targets immuno-oncology receptors such as CTLA- 4, LAG-3 or CD137. In contrast to those bispecific efforts described by others that have focused on a single pair of antigen-binding domains at a time, we applied our StitchMabs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technology in combination with our broad portfolio of selective antibodies to of immune targets across the innate and adaptive immune system to broadly screen for pairs of bispecific antigen-binding domains with the highest potential to generate antitumor activity.</w:t>
      </w:r>
    </w:p>
    <w:p>
      <w:pPr>
        <w:spacing w:after="0" w:line="204" w:lineRule="exact"/>
        <w:rPr>
          <w:sz w:val="20"/>
          <w:szCs w:val="20"/>
          <w:color w:val="auto"/>
        </w:rPr>
      </w:pPr>
    </w:p>
    <w:p>
      <w:pPr>
        <w:ind w:right="60" w:firstLine="490"/>
        <w:spacing w:after="0" w:line="266" w:lineRule="auto"/>
        <w:rPr>
          <w:sz w:val="20"/>
          <w:szCs w:val="20"/>
          <w:color w:val="auto"/>
        </w:rPr>
      </w:pPr>
      <w:r>
        <w:rPr>
          <w:rFonts w:ascii="Arial" w:cs="Arial" w:eastAsia="Arial" w:hAnsi="Arial"/>
          <w:sz w:val="19"/>
          <w:szCs w:val="19"/>
          <w:color w:val="auto"/>
        </w:rPr>
        <w:t>We designed our combinatorial screen such that one antigen-binding domain was directed against PD-1, and the other selected from our library of candidate antibodies. We screened these bispecific constructs in T-cell activation assays in the presence of PD -L1 expressing cells. Our unbiased screening led us to an antibody that pairs a PD-1 binding domain and a PD-L1 binding domain. This novel bispecific antibody contributed to T-cell activation that outperformed the activation observed in response to</w:t>
      </w:r>
    </w:p>
    <w:p>
      <w:pPr>
        <w:sectPr>
          <w:pgSz w:w="12240" w:h="15840" w:orient="portrait"/>
          <w:cols w:equalWidth="0" w:num="1">
            <w:col w:w="9360"/>
          </w:cols>
          <w:pgMar w:left="1440" w:top="984" w:right="144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13</w:t>
      </w:r>
    </w:p>
    <w:p>
      <w:pPr>
        <w:sectPr>
          <w:pgSz w:w="12240" w:h="15840" w:orient="portrait"/>
          <w:cols w:equalWidth="0" w:num="1">
            <w:col w:w="9360"/>
          </w:cols>
          <w:pgMar w:left="1440" w:top="984" w:right="1440" w:bottom="172" w:gutter="0" w:footer="0" w:header="0"/>
          <w:type w:val="continuous"/>
        </w:sectPr>
      </w:pPr>
    </w:p>
    <w:bookmarkStart w:id="15" w:name="page16"/>
    <w:bookmarkEnd w:id="15"/>
    <w:p>
      <w:pPr>
        <w:ind w:right="100"/>
        <w:spacing w:after="0" w:line="282" w:lineRule="auto"/>
        <w:rPr>
          <w:sz w:val="20"/>
          <w:szCs w:val="20"/>
          <w:color w:val="auto"/>
        </w:rPr>
      </w:pPr>
      <w:r>
        <w:rPr>
          <w:rFonts w:ascii="Arial" w:cs="Arial" w:eastAsia="Arial" w:hAnsi="Arial"/>
          <w:sz w:val="20"/>
          <w:szCs w:val="20"/>
          <w:color w:val="auto"/>
        </w:rPr>
        <w:t>treatment with only PD- 1 antibodies. We designated CTX-8371 as the bispecific antibody we constructed using our common light chain antibodies having a PD-1 and PD-L1 antigen binding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136525</wp:posOffset>
            </wp:positionV>
            <wp:extent cx="3714115" cy="2043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3714115" cy="204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PD-1 x PD-L1 bispecific antibody outperformed single PD-1 antibodies in a T-cell activation assay</w:t>
      </w:r>
    </w:p>
    <w:p>
      <w:pPr>
        <w:spacing w:after="0" w:line="241"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The observation that the combination of a PD-1 and PD-L1 antibody into a bispecific antibody would be hundreds to thousands fold more potent in a T-cell activation assay than a PD-1 antibody alone was unexpected. A simple model would suggest that inhibiting either PD-1 or PD-L1 should have approximately equal effects in this assay and there would be no advantage to inhibiting both. Further investigation into the mechanism of CTX-8371 found that it led to T-cell activation through four synergistic mechanisms:</w:t>
      </w:r>
    </w:p>
    <w:p>
      <w:pPr>
        <w:spacing w:after="0" w:line="203" w:lineRule="exact"/>
        <w:rPr>
          <w:sz w:val="20"/>
          <w:szCs w:val="20"/>
          <w:color w:val="auto"/>
        </w:rPr>
      </w:pPr>
    </w:p>
    <w:p>
      <w:pPr>
        <w:ind w:left="980" w:right="1340" w:hanging="490"/>
        <w:spacing w:after="0" w:line="289"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Dual checkpoint blocker</w:t>
      </w:r>
      <w:r>
        <w:rPr>
          <w:rFonts w:ascii="Arial" w:cs="Arial" w:eastAsia="Arial" w:hAnsi="Arial"/>
          <w:sz w:val="20"/>
          <w:szCs w:val="20"/>
          <w:color w:val="auto"/>
        </w:rPr>
        <w:t>: preventing PD-L1 to PD-1 binding, thus relieving the</w:t>
      </w:r>
      <w:r>
        <w:rPr>
          <w:rFonts w:ascii="Arial" w:cs="Arial" w:eastAsia="Arial" w:hAnsi="Arial"/>
          <w:sz w:val="20"/>
          <w:szCs w:val="20"/>
          <w:b w:val="1"/>
          <w:bCs w:val="1"/>
          <w:color w:val="auto"/>
        </w:rPr>
        <w:t xml:space="preserve"> </w:t>
      </w:r>
      <w:r>
        <w:rPr>
          <w:rFonts w:ascii="Arial" w:cs="Arial" w:eastAsia="Arial" w:hAnsi="Arial"/>
          <w:sz w:val="20"/>
          <w:szCs w:val="20"/>
          <w:color w:val="auto"/>
        </w:rPr>
        <w:t>immunosuppressive PD-1 signal;</w:t>
      </w:r>
    </w:p>
    <w:p>
      <w:pPr>
        <w:spacing w:after="0" w:line="161" w:lineRule="exact"/>
        <w:rPr>
          <w:rFonts w:ascii="Arial" w:cs="Arial" w:eastAsia="Arial" w:hAnsi="Arial"/>
          <w:sz w:val="20"/>
          <w:szCs w:val="20"/>
          <w:color w:val="auto"/>
        </w:rPr>
      </w:pPr>
    </w:p>
    <w:p>
      <w:pPr>
        <w:ind w:left="980" w:right="60" w:hanging="491"/>
        <w:spacing w:after="0" w:line="26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Cell engager</w:t>
      </w:r>
      <w:r>
        <w:rPr>
          <w:rFonts w:ascii="Arial" w:cs="Arial" w:eastAsia="Arial" w:hAnsi="Arial"/>
          <w:sz w:val="20"/>
          <w:szCs w:val="20"/>
          <w:color w:val="auto"/>
        </w:rPr>
        <w:t>: bridging the connection between the PD-L1 expressing tumor cell and the PD-1</w:t>
      </w:r>
      <w:r>
        <w:rPr>
          <w:rFonts w:ascii="Arial" w:cs="Arial" w:eastAsia="Arial" w:hAnsi="Arial"/>
          <w:sz w:val="20"/>
          <w:szCs w:val="20"/>
          <w:b w:val="1"/>
          <w:bCs w:val="1"/>
          <w:color w:val="auto"/>
        </w:rPr>
        <w:t xml:space="preserve"> </w:t>
      </w:r>
      <w:r>
        <w:rPr>
          <w:rFonts w:ascii="Arial" w:cs="Arial" w:eastAsia="Arial" w:hAnsi="Arial"/>
          <w:sz w:val="20"/>
          <w:szCs w:val="20"/>
          <w:color w:val="auto"/>
        </w:rPr>
        <w:t>expressing T-cell, potentially facilitating T-cell engagement and enhancement of effector function;</w:t>
      </w:r>
    </w:p>
    <w:p>
      <w:pPr>
        <w:spacing w:after="0" w:line="187" w:lineRule="exact"/>
        <w:rPr>
          <w:rFonts w:ascii="Arial" w:cs="Arial" w:eastAsia="Arial" w:hAnsi="Arial"/>
          <w:sz w:val="20"/>
          <w:szCs w:val="20"/>
          <w:color w:val="auto"/>
        </w:rPr>
      </w:pPr>
    </w:p>
    <w:p>
      <w:pPr>
        <w:ind w:left="980" w:right="320" w:hanging="491"/>
        <w:spacing w:after="0" w:line="26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Downregulation of PD-1</w:t>
      </w:r>
      <w:r>
        <w:rPr>
          <w:rFonts w:ascii="Arial" w:cs="Arial" w:eastAsia="Arial" w:hAnsi="Arial"/>
          <w:sz w:val="20"/>
          <w:szCs w:val="20"/>
          <w:color w:val="auto"/>
        </w:rPr>
        <w:t>: triggering the cleavage of the extracellular domain of PD-1</w:t>
      </w:r>
      <w:r>
        <w:rPr>
          <w:rFonts w:ascii="Arial" w:cs="Arial" w:eastAsia="Arial" w:hAnsi="Arial"/>
          <w:sz w:val="20"/>
          <w:szCs w:val="20"/>
          <w:b w:val="1"/>
          <w:bCs w:val="1"/>
          <w:color w:val="auto"/>
        </w:rPr>
        <w:t xml:space="preserve"> </w:t>
      </w:r>
      <w:r>
        <w:rPr>
          <w:rFonts w:ascii="Arial" w:cs="Arial" w:eastAsia="Arial" w:hAnsi="Arial"/>
          <w:sz w:val="20"/>
          <w:szCs w:val="20"/>
          <w:color w:val="auto"/>
        </w:rPr>
        <w:t>receptors from the surface of T-cells resulting in the conversion of PD-1 positive T-cells into PD-1 negative; and</w:t>
      </w:r>
    </w:p>
    <w:p>
      <w:pPr>
        <w:spacing w:after="0" w:line="187" w:lineRule="exact"/>
        <w:rPr>
          <w:rFonts w:ascii="Arial" w:cs="Arial" w:eastAsia="Arial" w:hAnsi="Arial"/>
          <w:sz w:val="20"/>
          <w:szCs w:val="20"/>
          <w:color w:val="auto"/>
        </w:rPr>
      </w:pPr>
    </w:p>
    <w:p>
      <w:pPr>
        <w:jc w:val="both"/>
        <w:ind w:left="980" w:right="40" w:hanging="491"/>
        <w:spacing w:after="0" w:line="263"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Indirect CD28 agonist: </w:t>
      </w:r>
      <w:r>
        <w:rPr>
          <w:rFonts w:ascii="Arial" w:cs="Arial" w:eastAsia="Arial" w:hAnsi="Arial"/>
          <w:sz w:val="20"/>
          <w:szCs w:val="20"/>
          <w:color w:val="auto"/>
        </w:rPr>
        <w:t>increasing the pool of free CD80 on tumor cells making it available to</w:t>
      </w:r>
      <w:r>
        <w:rPr>
          <w:rFonts w:ascii="Arial" w:cs="Arial" w:eastAsia="Arial" w:hAnsi="Arial"/>
          <w:sz w:val="20"/>
          <w:szCs w:val="20"/>
          <w:b w:val="1"/>
          <w:bCs w:val="1"/>
          <w:color w:val="auto"/>
        </w:rPr>
        <w:t xml:space="preserve"> </w:t>
      </w:r>
      <w:r>
        <w:rPr>
          <w:rFonts w:ascii="Arial" w:cs="Arial" w:eastAsia="Arial" w:hAnsi="Arial"/>
          <w:sz w:val="20"/>
          <w:szCs w:val="20"/>
          <w:color w:val="auto"/>
        </w:rPr>
        <w:t>bind and activate the CD28 T-cell co-stimulatory receptor, thereby, sending a positive signal to the T-cell, which enhances its activation.</w:t>
      </w:r>
    </w:p>
    <w:p>
      <w:pPr>
        <w:sectPr>
          <w:pgSz w:w="12240" w:h="15840" w:orient="portrait"/>
          <w:cols w:equalWidth="0" w:num="1">
            <w:col w:w="9360"/>
          </w:cols>
          <w:pgMar w:left="1440" w:top="988" w:right="144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9360"/>
          </w:cols>
          <w:pgMar w:left="1440" w:top="988" w:right="1440" w:bottom="172"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815340</wp:posOffset>
            </wp:positionV>
            <wp:extent cx="5943600" cy="3044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94360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Differentiated mechanism of action of CTX-8371 drives enhanced T-cell activation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1 and Development Plans for CTX-8371</w:t>
      </w:r>
    </w:p>
    <w:p>
      <w:pPr>
        <w:spacing w:after="0" w:line="244" w:lineRule="exact"/>
        <w:rPr>
          <w:sz w:val="20"/>
          <w:szCs w:val="20"/>
          <w:color w:val="auto"/>
        </w:rPr>
      </w:pPr>
    </w:p>
    <w:p>
      <w:pPr>
        <w:ind w:right="140" w:firstLine="490"/>
        <w:spacing w:after="0" w:line="248" w:lineRule="auto"/>
        <w:rPr>
          <w:sz w:val="20"/>
          <w:szCs w:val="20"/>
          <w:color w:val="auto"/>
        </w:rPr>
      </w:pPr>
      <w:r>
        <w:rPr>
          <w:rFonts w:ascii="Arial" w:cs="Arial" w:eastAsia="Arial" w:hAnsi="Arial"/>
          <w:sz w:val="20"/>
          <w:szCs w:val="20"/>
          <w:color w:val="auto"/>
        </w:rPr>
        <w:t>In the first quarter of 2024 we initiated a first- in-human Phase 1 study of CTX-8371 in patients with metastatic or locally advanced malignancies. This Phase 1 trial is a multiple ascending, dose escalation with five doses: 0.1, 0.3, 1.0, 3.0 and 10 mg/kg. The study includes patients who progressed while receiving an approved PD-1 or PD-L1 inhibitor. Other eligibility criteria include patients with metastatic or locally advanced melanoma, non-small cell lung cancer (“NSCLC”), head and neck cancer (“HNCC”), Hodgkin’s Lymphoma (“HL”) and triple negative breast cancer (“TNBC”).</w:t>
      </w:r>
    </w:p>
    <w:p>
      <w:pPr>
        <w:spacing w:after="0" w:line="194" w:lineRule="exact"/>
        <w:rPr>
          <w:sz w:val="20"/>
          <w:szCs w:val="20"/>
          <w:color w:val="auto"/>
        </w:rPr>
      </w:pPr>
    </w:p>
    <w:p>
      <w:pPr>
        <w:ind w:right="160" w:firstLine="490"/>
        <w:spacing w:after="0" w:line="250" w:lineRule="auto"/>
        <w:rPr>
          <w:sz w:val="20"/>
          <w:szCs w:val="20"/>
          <w:color w:val="auto"/>
        </w:rPr>
      </w:pPr>
      <w:r>
        <w:rPr>
          <w:rFonts w:ascii="Arial" w:cs="Arial" w:eastAsia="Arial" w:hAnsi="Arial"/>
          <w:sz w:val="20"/>
          <w:szCs w:val="20"/>
          <w:color w:val="auto"/>
        </w:rPr>
        <w:t>In the Phase 1 dose-escalation study, CTX-8371 demonstrated 3 confirmed responses out of 15 patients, including patients with both solid tumor and hematologic malignancies: NSCLC, TNBC and HL. The patient with NSCLC achieved complete resolution of all measurable target tumor lesions, and the patient with TNBC achieved over 90% reduction in target tumor lesions. No dose limiting toxicities were observed at any dose level.</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CT scans from the responding patient with NSCLC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164465</wp:posOffset>
            </wp:positionV>
            <wp:extent cx="5459095" cy="145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5459095" cy="1452880"/>
                    </a:xfrm>
                    <a:prstGeom prst="rect">
                      <a:avLst/>
                    </a:prstGeom>
                    <a:noFill/>
                  </pic:spPr>
                </pic:pic>
              </a:graphicData>
            </a:graphic>
          </wp:anchor>
        </w:drawing>
      </w:r>
    </w:p>
    <w:p>
      <w:pPr>
        <w:sectPr>
          <w:pgSz w:w="12240" w:h="15840" w:orient="portrait"/>
          <w:cols w:equalWidth="0" w:num="1">
            <w:col w:w="9360"/>
          </w:cols>
          <w:pgMar w:left="1440" w:top="1440" w:right="144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9360"/>
          </w:cols>
          <w:pgMar w:left="1440" w:top="1440" w:right="1440" w:bottom="172" w:gutter="0" w:footer="0" w:header="0"/>
          <w:type w:val="continuous"/>
        </w:sectPr>
      </w:pPr>
    </w:p>
    <w:bookmarkStart w:id="17" w:name="page18"/>
    <w:bookmarkEnd w:id="17"/>
    <w:p>
      <w:pPr>
        <w:ind w:left="480"/>
        <w:spacing w:after="0"/>
        <w:rPr>
          <w:sz w:val="20"/>
          <w:szCs w:val="20"/>
          <w:color w:val="auto"/>
        </w:rPr>
      </w:pPr>
      <w:r>
        <w:rPr>
          <w:rFonts w:ascii="Arial" w:cs="Arial" w:eastAsia="Arial" w:hAnsi="Arial"/>
          <w:sz w:val="20"/>
          <w:szCs w:val="20"/>
          <w:color w:val="auto"/>
        </w:rPr>
        <w:t>CT scans from the responding patient with TNBC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164465</wp:posOffset>
            </wp:positionV>
            <wp:extent cx="5698490" cy="2882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5698490"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490"/>
        <w:spacing w:after="0" w:line="259" w:lineRule="auto"/>
        <w:rPr>
          <w:sz w:val="20"/>
          <w:szCs w:val="20"/>
          <w:color w:val="auto"/>
        </w:rPr>
      </w:pPr>
      <w:r>
        <w:rPr>
          <w:rFonts w:ascii="Arial" w:cs="Arial" w:eastAsia="Arial" w:hAnsi="Arial"/>
          <w:sz w:val="19"/>
          <w:szCs w:val="19"/>
          <w:color w:val="auto"/>
        </w:rPr>
        <w:t>Cohort expansions for CTX-8371 are now enrolling patients with TNBC (n=28) and NSCLC (n=28) with an expansion cohort in patients with HL (n=12) expected to begin shortly, all in the post- checkpoint inhibitor setting. Half of the patients with each tumor type will be dosed at 3.0 mg/kg and half will be dosed at 10.0 mg/kg. Initial data from these cohort expansions, as well as available data from the Phase</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1 dose-escalation portion of the study, are expected to be presented at a major medical conference in the first half of 2026.</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CTX-10726 (PD-1 x VEGF-A Bispecific Antibody)</w:t>
      </w:r>
    </w:p>
    <w:p>
      <w:pPr>
        <w:spacing w:after="0" w:line="244" w:lineRule="exact"/>
        <w:rPr>
          <w:sz w:val="20"/>
          <w:szCs w:val="20"/>
          <w:color w:val="auto"/>
        </w:rPr>
      </w:pPr>
    </w:p>
    <w:p>
      <w:pPr>
        <w:ind w:right="520" w:firstLine="490"/>
        <w:spacing w:after="0" w:line="261" w:lineRule="auto"/>
        <w:rPr>
          <w:sz w:val="20"/>
          <w:szCs w:val="20"/>
          <w:color w:val="auto"/>
        </w:rPr>
      </w:pPr>
      <w:r>
        <w:rPr>
          <w:rFonts w:ascii="Arial" w:cs="Arial" w:eastAsia="Arial" w:hAnsi="Arial"/>
          <w:sz w:val="20"/>
          <w:szCs w:val="20"/>
          <w:color w:val="auto"/>
        </w:rPr>
        <w:t>CTX-10726 is a novel, tetravalent PD-1 x VEGF-A bispecific antibody that we discovered, engineered and developed at Compass. CTX-10726 is designed to synergistically deliver VEGF-A blockade and checkpoint inhibition, which is potentially applicable to multiple solid tumor indications.</w:t>
      </w:r>
    </w:p>
    <w:p>
      <w:pPr>
        <w:spacing w:after="0" w:line="179"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CTX-10726 utilizes a fully human IgG1 with silenced Fc -Ȗ receptor binding and demonstrates a highly stable structure with high affinity target binding. Based on preclinical studies, CTX-10726 exhibits several-fold more potent PD-1 blockade compared with publicly available data reported for other drugs in the class, and we believe this may be a key differentiator from comparable bispecifics.</w:t>
      </w:r>
    </w:p>
    <w:p>
      <w:pPr>
        <w:spacing w:after="0" w:line="186" w:lineRule="exact"/>
        <w:rPr>
          <w:sz w:val="20"/>
          <w:szCs w:val="20"/>
          <w:color w:val="auto"/>
        </w:rPr>
      </w:pPr>
    </w:p>
    <w:p>
      <w:pPr>
        <w:jc w:val="both"/>
        <w:ind w:right="320" w:firstLine="490"/>
        <w:spacing w:after="0" w:line="261" w:lineRule="auto"/>
        <w:rPr>
          <w:sz w:val="20"/>
          <w:szCs w:val="20"/>
          <w:color w:val="auto"/>
        </w:rPr>
      </w:pPr>
      <w:r>
        <w:rPr>
          <w:rFonts w:ascii="Arial" w:cs="Arial" w:eastAsia="Arial" w:hAnsi="Arial"/>
          <w:sz w:val="20"/>
          <w:szCs w:val="20"/>
          <w:color w:val="auto"/>
        </w:rPr>
        <w:t>The development of CTX-10726 was informed and accelerated by our experience with two of our clinical-stage assets: tovecimig, which contains a VEGF-A targeted component, and CTX-8371, which contains a PD-1 targeted component.</w:t>
      </w:r>
    </w:p>
    <w:p>
      <w:pPr>
        <w:spacing w:after="0" w:line="299"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B9000C"/>
        </w:rPr>
        <w:t>Anti-VEGF-A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46355</wp:posOffset>
            </wp:positionV>
            <wp:extent cx="935990" cy="997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935990" cy="99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46A1CB"/>
        </w:rPr>
        <w:t>Anti-PD-1</w:t>
      </w:r>
    </w:p>
    <w:p>
      <w:pPr>
        <w:sectPr>
          <w:pgSz w:w="12240" w:h="15840" w:orient="portrait"/>
          <w:cols w:equalWidth="0" w:num="1">
            <w:col w:w="9360"/>
          </w:cols>
          <w:pgMar w:left="1440" w:top="988" w:right="144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9360"/>
          </w:cols>
          <w:pgMar w:left="1440" w:top="988" w:right="1440" w:bottom="172" w:gutter="0" w:footer="0" w:header="0"/>
          <w:type w:val="continuous"/>
        </w:sectPr>
      </w:pPr>
    </w:p>
    <w:bookmarkStart w:id="18" w:name="page19"/>
    <w:bookmarkEnd w:id="18"/>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CTX-10726 is a PD-1 x VEGF-A bispecific antibody</w:t>
      </w:r>
    </w:p>
    <w:p>
      <w:pPr>
        <w:spacing w:after="0" w:line="241" w:lineRule="exact"/>
        <w:rPr>
          <w:sz w:val="20"/>
          <w:szCs w:val="20"/>
          <w:color w:val="auto"/>
        </w:rPr>
      </w:pPr>
    </w:p>
    <w:p>
      <w:pPr>
        <w:ind w:left="1" w:right="100" w:firstLine="490"/>
        <w:spacing w:after="0" w:line="248" w:lineRule="auto"/>
        <w:rPr>
          <w:sz w:val="20"/>
          <w:szCs w:val="20"/>
          <w:color w:val="auto"/>
        </w:rPr>
      </w:pPr>
      <w:r>
        <w:rPr>
          <w:rFonts w:ascii="Arial" w:cs="Arial" w:eastAsia="Arial" w:hAnsi="Arial"/>
          <w:sz w:val="20"/>
          <w:szCs w:val="20"/>
          <w:color w:val="auto"/>
        </w:rPr>
        <w:t>In the first quarter 2026, we received FDA clearance for the IND for CTX-10726 and the Phase 1 study will be open for enrollment in Q1 2026. This Phase 1 multiple ascending dose-escalation study of CTX-10726 will include four doses (0.3, 1.0, 3.0, and 10.0 mg/kg) in a 3+3 format. The multi-center study will enroll patients with locally advanced, unresectable or metastatic malignancies, including renal cell carcinoma, gastroesophageal cancer, hepatocellular carcinoma, and endometrial cancer, in whom standard of care therapies have failed.</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Discovery and Preclinical Activity for CTX-10726</w:t>
      </w:r>
    </w:p>
    <w:p>
      <w:pPr>
        <w:spacing w:after="0" w:line="244" w:lineRule="exact"/>
        <w:rPr>
          <w:sz w:val="20"/>
          <w:szCs w:val="20"/>
          <w:color w:val="auto"/>
        </w:rPr>
      </w:pPr>
    </w:p>
    <w:p>
      <w:pPr>
        <w:ind w:left="481"/>
        <w:spacing w:after="0"/>
        <w:rPr>
          <w:sz w:val="20"/>
          <w:szCs w:val="20"/>
          <w:color w:val="auto"/>
        </w:rPr>
      </w:pPr>
      <w:r>
        <w:rPr>
          <w:rFonts w:ascii="Arial" w:cs="Arial" w:eastAsia="Arial" w:hAnsi="Arial"/>
          <w:sz w:val="20"/>
          <w:szCs w:val="20"/>
          <w:color w:val="auto"/>
        </w:rPr>
        <w:t>CTX-10726 showed high-affinity binding to both human and cynomolgus monkey VEGF-A and PD-</w:t>
      </w:r>
    </w:p>
    <w:p>
      <w:pPr>
        <w:spacing w:after="0" w:line="25" w:lineRule="exact"/>
        <w:rPr>
          <w:sz w:val="20"/>
          <w:szCs w:val="20"/>
          <w:color w:val="auto"/>
        </w:rPr>
      </w:pPr>
    </w:p>
    <w:p>
      <w:pPr>
        <w:ind w:left="221" w:hanging="221"/>
        <w:spacing w:after="0"/>
        <w:tabs>
          <w:tab w:leader="none" w:pos="221" w:val="left"/>
        </w:tabs>
        <w:numPr>
          <w:ilvl w:val="0"/>
          <w:numId w:val="6"/>
        </w:numPr>
        <w:rPr>
          <w:rFonts w:ascii="Arial" w:cs="Arial" w:eastAsia="Arial" w:hAnsi="Arial"/>
          <w:sz w:val="20"/>
          <w:szCs w:val="20"/>
          <w:color w:val="auto"/>
        </w:rPr>
      </w:pPr>
      <w:r>
        <w:rPr>
          <w:rFonts w:ascii="Arial" w:cs="Arial" w:eastAsia="Arial" w:hAnsi="Arial"/>
          <w:sz w:val="20"/>
          <w:szCs w:val="20"/>
          <w:color w:val="auto"/>
        </w:rPr>
        <w:t>CTX-10726 effectively blocked VEGF-A/VEGFR2 and PD-1/PD-L1 interactions in a dose dependent</w:t>
      </w:r>
    </w:p>
    <w:p>
      <w:pPr>
        <w:ind w:left="1" w:right="620"/>
        <w:spacing w:after="0" w:line="253" w:lineRule="auto"/>
        <w:rPr>
          <w:rFonts w:ascii="Arial" w:cs="Arial" w:eastAsia="Arial" w:hAnsi="Arial"/>
          <w:sz w:val="20"/>
          <w:szCs w:val="20"/>
          <w:color w:val="auto"/>
        </w:rPr>
      </w:pPr>
      <w:r>
        <w:rPr>
          <w:rFonts w:ascii="PMingLiU" w:cs="PMingLiU" w:eastAsia="PMingLiU" w:hAnsi="PMingLiU"/>
          <w:sz w:val="18"/>
          <w:szCs w:val="18"/>
          <w:color w:val="auto"/>
        </w:rPr>
        <w:t>PDQQHUDQGVKRZHGUHGXFHGHQJDJHPHQWZLWK)F UHFHSWRUVOLPLWLQJRII</w:t>
      </w:r>
      <w:r>
        <w:rPr>
          <w:rFonts w:ascii="Arial" w:cs="Arial" w:eastAsia="Arial" w:hAnsi="Arial"/>
          <w:sz w:val="18"/>
          <w:szCs w:val="18"/>
          <w:color w:val="auto"/>
        </w:rPr>
        <w:t>-target immune activation.</w:t>
      </w:r>
      <w:r>
        <w:rPr>
          <w:rFonts w:ascii="PMingLiU" w:cs="PMingLiU" w:eastAsia="PMingLiU" w:hAnsi="PMingLiU"/>
          <w:sz w:val="18"/>
          <w:szCs w:val="18"/>
          <w:color w:val="auto"/>
        </w:rPr>
        <w:t xml:space="preserve"> </w:t>
      </w:r>
      <w:r>
        <w:rPr>
          <w:rFonts w:ascii="Arial" w:cs="Arial" w:eastAsia="Arial" w:hAnsi="Arial"/>
          <w:sz w:val="18"/>
          <w:szCs w:val="18"/>
          <w:color w:val="auto"/>
        </w:rPr>
        <w:t>Functionally, it significantly enhanced IFN-</w:t>
      </w:r>
      <w:r>
        <w:rPr>
          <w:rFonts w:ascii="PMingLiU" w:cs="PMingLiU" w:eastAsia="PMingLiU" w:hAnsi="PMingLiU"/>
          <w:sz w:val="18"/>
          <w:szCs w:val="18"/>
          <w:color w:val="auto"/>
        </w:rPr>
        <w:t xml:space="preserve"> SURGXFWLRQLQ0/5VDQGWXPRUFHOONLOOLQJE\DFWLYDWHG</w:t>
      </w:r>
    </w:p>
    <w:p>
      <w:pPr>
        <w:spacing w:after="0" w:line="1" w:lineRule="exact"/>
        <w:rPr>
          <w:rFonts w:ascii="Arial" w:cs="Arial" w:eastAsia="Arial" w:hAnsi="Arial"/>
          <w:sz w:val="20"/>
          <w:szCs w:val="20"/>
          <w:color w:val="auto"/>
        </w:rPr>
      </w:pPr>
    </w:p>
    <w:p>
      <w:pPr>
        <w:ind w:left="1" w:right="760"/>
        <w:spacing w:after="0" w:line="255" w:lineRule="auto"/>
        <w:rPr>
          <w:rFonts w:ascii="Arial" w:cs="Arial" w:eastAsia="Arial" w:hAnsi="Arial"/>
          <w:sz w:val="20"/>
          <w:szCs w:val="20"/>
          <w:color w:val="auto"/>
        </w:rPr>
      </w:pPr>
      <w:r>
        <w:rPr>
          <w:rFonts w:ascii="Arial" w:cs="Arial" w:eastAsia="Arial" w:hAnsi="Arial"/>
          <w:sz w:val="20"/>
          <w:szCs w:val="20"/>
          <w:color w:val="auto"/>
        </w:rPr>
        <w:t>PBMCs. In vivo, CTX-10726 outperformed benchmark biosimilar anti-VEGF or PD-1 antibodies in controlling tumor growth across multiple xenograft and syngeneic models.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The dual blockade of PD-1 and VEGF-A by CTX-10726 produced superior anti-tumor activity</w:t>
      </w:r>
    </w:p>
    <w:p>
      <w:pPr>
        <w:spacing w:after="0" w:line="26" w:lineRule="exact"/>
        <w:rPr>
          <w:sz w:val="20"/>
          <w:szCs w:val="20"/>
          <w:color w:val="auto"/>
        </w:rPr>
      </w:pPr>
    </w:p>
    <w:p>
      <w:pPr>
        <w:ind w:left="1" w:right="180"/>
        <w:spacing w:after="0" w:line="252" w:lineRule="auto"/>
        <w:rPr>
          <w:sz w:val="20"/>
          <w:szCs w:val="20"/>
          <w:color w:val="auto"/>
        </w:rPr>
      </w:pPr>
      <w:r>
        <w:rPr>
          <w:rFonts w:ascii="Arial" w:cs="Arial" w:eastAsia="Arial" w:hAnsi="Arial"/>
          <w:sz w:val="20"/>
          <w:szCs w:val="20"/>
          <w:color w:val="auto"/>
        </w:rPr>
        <w:t>compared to anti- VEGF-A treatment or ivonescimab (****, P &lt;0.0001, Two-way ANOVA), demonstrating enhanced in vivo potency in the following model:</w:t>
      </w:r>
    </w:p>
    <w:p>
      <w:pPr>
        <w:spacing w:after="0" w:line="200" w:lineRule="exact"/>
        <w:rPr>
          <w:sz w:val="20"/>
          <w:szCs w:val="20"/>
          <w:color w:val="auto"/>
        </w:rPr>
      </w:pPr>
    </w:p>
    <w:p>
      <w:pPr>
        <w:spacing w:after="0" w:line="216" w:lineRule="exact"/>
        <w:rPr>
          <w:sz w:val="20"/>
          <w:szCs w:val="20"/>
          <w:color w:val="auto"/>
        </w:rPr>
      </w:pPr>
    </w:p>
    <w:p>
      <w:pPr>
        <w:jc w:val="center"/>
        <w:ind w:left="1500" w:right="2100"/>
        <w:spacing w:after="0" w:line="268" w:lineRule="auto"/>
        <w:rPr>
          <w:sz w:val="20"/>
          <w:szCs w:val="20"/>
          <w:color w:val="auto"/>
        </w:rPr>
      </w:pPr>
      <w:r>
        <w:rPr>
          <w:rFonts w:ascii="Arial" w:cs="Arial" w:eastAsia="Arial" w:hAnsi="Arial"/>
          <w:sz w:val="20"/>
          <w:szCs w:val="20"/>
          <w:b w:val="1"/>
          <w:bCs w:val="1"/>
          <w:color w:val="auto"/>
        </w:rPr>
        <w:t>Human NSCLC (HCC827) Xenografts Treated with human PBMCs and indicated antibodies Testing both PD-1 and VEGF-A targeting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116205</wp:posOffset>
            </wp:positionV>
            <wp:extent cx="5548630" cy="2501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5548630" cy="250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License Agreements</w:t>
      </w:r>
    </w:p>
    <w:p>
      <w:pPr>
        <w:spacing w:after="0" w:line="248" w:lineRule="exact"/>
        <w:rPr>
          <w:sz w:val="20"/>
          <w:szCs w:val="20"/>
          <w:color w:val="auto"/>
        </w:rPr>
      </w:pPr>
    </w:p>
    <w:p>
      <w:pPr>
        <w:ind w:left="481"/>
        <w:spacing w:after="0"/>
        <w:rPr>
          <w:sz w:val="20"/>
          <w:szCs w:val="20"/>
          <w:color w:val="auto"/>
        </w:rPr>
      </w:pPr>
      <w:r>
        <w:rPr>
          <w:rFonts w:ascii="Arial" w:cs="Arial" w:eastAsia="Arial" w:hAnsi="Arial"/>
          <w:sz w:val="20"/>
          <w:szCs w:val="20"/>
          <w:b w:val="1"/>
          <w:bCs w:val="1"/>
          <w:i w:val="1"/>
          <w:iCs w:val="1"/>
          <w:color w:val="auto"/>
        </w:rPr>
        <w:t>Tovecimig (DLL4 X VEGF-A bispecific antibody)</w:t>
      </w:r>
    </w:p>
    <w:p>
      <w:pPr>
        <w:spacing w:after="0" w:line="234" w:lineRule="exact"/>
        <w:rPr>
          <w:sz w:val="20"/>
          <w:szCs w:val="20"/>
          <w:color w:val="auto"/>
        </w:rPr>
      </w:pPr>
    </w:p>
    <w:p>
      <w:pPr>
        <w:ind w:left="1" w:right="60" w:firstLine="490"/>
        <w:spacing w:after="0" w:line="248" w:lineRule="auto"/>
        <w:rPr>
          <w:sz w:val="20"/>
          <w:szCs w:val="20"/>
          <w:color w:val="auto"/>
        </w:rPr>
      </w:pPr>
      <w:r>
        <w:rPr>
          <w:rFonts w:ascii="Arial" w:cs="Arial" w:eastAsia="Arial" w:hAnsi="Arial"/>
          <w:sz w:val="20"/>
          <w:szCs w:val="20"/>
          <w:color w:val="auto"/>
        </w:rPr>
        <w:t>Our wholly owned subsidiary Trigr Therapeutics, Inc. (“TRIGR”) and ABL Bio, a South Korean biotechnology company, entered into an exclusive global (excluding South Korea) license agreement (the “TRIGR License Agreement”) which granted TRIGR a license to ABL001 (renamed CTX-009 and subsequently tovecimig) . Under the terms of the agreement, ABL Bio and TRIGR would jointly develop tovecimig, with ABL Bio responsible for development of tovecimig throughout the end of Phase 1 clinical trials and TRIGR responsible for the development of tovecimig from Phase 2 and onward.</w:t>
      </w:r>
    </w:p>
    <w:p>
      <w:pPr>
        <w:sectPr>
          <w:pgSz w:w="12240" w:h="15840" w:orient="portrait"/>
          <w:cols w:equalWidth="0" w:num="1">
            <w:col w:w="9361"/>
          </w:cols>
          <w:pgMar w:left="1439" w:top="1440" w:right="1440" w:bottom="172"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9361"/>
          </w:cols>
          <w:pgMar w:left="1439" w:top="1440" w:right="1440" w:bottom="172" w:gutter="0" w:footer="0" w:header="0"/>
          <w:type w:val="continuous"/>
        </w:sectPr>
      </w:pPr>
    </w:p>
    <w:bookmarkStart w:id="19" w:name="page20"/>
    <w:bookmarkEnd w:id="19"/>
    <w:p>
      <w:pPr>
        <w:ind w:right="60" w:firstLine="490"/>
        <w:spacing w:after="0" w:line="246" w:lineRule="auto"/>
        <w:rPr>
          <w:sz w:val="20"/>
          <w:szCs w:val="20"/>
          <w:color w:val="auto"/>
        </w:rPr>
      </w:pPr>
      <w:r>
        <w:rPr>
          <w:rFonts w:ascii="Arial" w:cs="Arial" w:eastAsia="Arial" w:hAnsi="Arial"/>
          <w:sz w:val="20"/>
          <w:szCs w:val="20"/>
          <w:color w:val="auto"/>
        </w:rPr>
        <w:t>ABL Bio received a $5 million upfront payment and a $6 million milestone payment. In addition, ABL Bio is eligible to receive up to $96 million of development and regulatory milestone payments, up to $303 million of commercial milestone payments and tiered single-digit royalties on net sales of tovecimig in oncology. ABL Bio is also eligible to receive up to $75 million in development and regulatory milestone payments and up to $110 million in commercial milestone payments and tiered, single-digit royalties on net sales of tovecimig in ophthalmology. The financial terms of the agreement were amended in May 2021 but remain substantially similar to the terms in the TRIGR License Agreement. As a result of the TRIGR acquisition, we have assumed all the rights and obligations of the TRIGR License Agreement.</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CTX-471 (CD137 agonist antibody)</w:t>
      </w:r>
    </w:p>
    <w:p>
      <w:pPr>
        <w:spacing w:after="0" w:line="236" w:lineRule="exact"/>
        <w:rPr>
          <w:sz w:val="20"/>
          <w:szCs w:val="20"/>
          <w:color w:val="auto"/>
        </w:rPr>
      </w:pPr>
    </w:p>
    <w:p>
      <w:pPr>
        <w:ind w:right="180" w:firstLine="490"/>
        <w:spacing w:after="0" w:line="244" w:lineRule="auto"/>
        <w:rPr>
          <w:sz w:val="20"/>
          <w:szCs w:val="20"/>
          <w:color w:val="auto"/>
        </w:rPr>
      </w:pPr>
      <w:r>
        <w:rPr>
          <w:rFonts w:ascii="Arial" w:cs="Arial" w:eastAsia="Arial" w:hAnsi="Arial"/>
          <w:sz w:val="20"/>
          <w:szCs w:val="20"/>
          <w:color w:val="auto"/>
        </w:rPr>
        <w:t>We entered into an amended and restated collaboration agreement with Adimab, LLC ("Adimab"), dated February 11, 2015. This agreement relates to our license from Adimab for certain antibodies for development and commercialization as biopharmaceutical products, including our acquired product candidate, CTX-471. We were granted an exclusive option to license and potentially acquire antibodies under the agreement, which we exercised with respect to CTX-471. We are required to make payments upon achievement of development milestones that, as of December 31, 2025, amounted to $3.5 million, of which we have already made $1.5 million in milestone payments, and we have additional potential payments due in the amount of $2.0 million. In addition, we are required to pay royalties at rates ranging in the single digits as a percentage of future net sales within a specified term from the first commercial sale.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36"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We strive to protect the proprietary technology, inventions, and know-how to enhance improvements that are important to the development of our business, including seeking, maintaining, and defending patent rights. We also rely on trade secrets and know-how relating to our proprietary technology platform, on continuing technological innovation and on in-licensing opportunities to develop, strengthen and maintain the strength of our position in the field of antibody therapeutics that may be important for the development of our business. We additionally may rely on regulatory protection afforded through data exclusivity, market exclusivity and patent term extensions where available.</w:t>
      </w:r>
    </w:p>
    <w:p>
      <w:pPr>
        <w:spacing w:after="0" w:line="194" w:lineRule="exact"/>
        <w:rPr>
          <w:sz w:val="20"/>
          <w:szCs w:val="20"/>
          <w:color w:val="auto"/>
        </w:rPr>
      </w:pPr>
    </w:p>
    <w:p>
      <w:pPr>
        <w:ind w:right="20" w:firstLine="490"/>
        <w:spacing w:after="0" w:line="253" w:lineRule="auto"/>
        <w:rPr>
          <w:sz w:val="20"/>
          <w:szCs w:val="20"/>
          <w:color w:val="auto"/>
        </w:rPr>
      </w:pPr>
      <w:r>
        <w:rPr>
          <w:rFonts w:ascii="Arial" w:cs="Arial" w:eastAsia="Arial" w:hAnsi="Arial"/>
          <w:sz w:val="20"/>
          <w:szCs w:val="20"/>
          <w:color w:val="auto"/>
        </w:rPr>
        <w:t>Our success depends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w:t>
      </w:r>
    </w:p>
    <w:p>
      <w:pPr>
        <w:spacing w:after="0" w:line="190"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Our ability to stop third parties from making, using, selling, offering to sell, or importing our products depends in large part on the extent to which we have rights under valid and enforceable licenses, patents, or trade secrets that cover these activities. In some cases, these rights may need to be enforced by third-party licensors. With respect to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useful in protecting our commercial products and methods of manufacturing the same. For more information, please see “Risk Factors—Risks Related to Our Intellectual Property.”</w:t>
      </w:r>
    </w:p>
    <w:p>
      <w:pPr>
        <w:spacing w:after="0" w:line="199"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We seek to protect our proprietary position by, among other things, filing patent applications in the United States and internationally in certain jurisdictions where it is available. For example, we file U.S. and selected foreign patent applications related to our proprietary technology, inventions, and improvements that are important to the development of our business. We also intend to seek patent protection, or rely upon trade secret rights, to protect other technologies that may be used to discover and validate targets and that may be used to identify and develop novel products or improvements thereof. We seek protection, in part, through confidentiality and proprietary information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9360"/>
          </w:cols>
          <w:pgMar w:left="1440" w:top="988" w:right="1440" w:bottom="161" w:gutter="0" w:footer="0" w:header="0"/>
        </w:sectPr>
      </w:pPr>
    </w:p>
    <w:bookmarkStart w:id="20" w:name="page21"/>
    <w:bookmarkEnd w:id="20"/>
    <w:p>
      <w:pPr>
        <w:ind w:right="40" w:firstLine="490"/>
        <w:spacing w:after="0" w:line="242" w:lineRule="auto"/>
        <w:rPr>
          <w:sz w:val="20"/>
          <w:szCs w:val="20"/>
          <w:color w:val="auto"/>
        </w:rPr>
      </w:pPr>
      <w:r>
        <w:rPr>
          <w:rFonts w:ascii="Arial" w:cs="Arial" w:eastAsia="Arial" w:hAnsi="Arial"/>
          <w:sz w:val="20"/>
          <w:szCs w:val="20"/>
          <w:color w:val="auto"/>
        </w:rPr>
        <w:t>The term of individual patents depends upon the legal term of the patents in the countries in which they are obtained. In most countries in which we file, the patent term is 20 years from the earliest date of filing a non- provisional application which matures into a granted patent. A U.S. patent also may be accorded a patent term adjustment ("PTA"), under certain circumstances to compensate for delays in obtaining the patent caused by the U.S. Patent and Trademark Office. In some instances, such a PTA may result in a U.S. patent term extending beyond 20 years from the earliest date of filing a non-provisional patent application. In addition, in the U.S., the term of a U.S. patent that covers an FDA approved drug may also be eligible for patent term extension, which permits patent term restoration as compensation for the patent term lost during the FDA regulatory review process. The Hatch-Waxman Act permits a patent term extension of up to five years beyond the original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U.S., will agree with our assessment of whether such extensions should be granted, and if granted, the length of such extensions.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Protection</w:t>
      </w:r>
    </w:p>
    <w:p>
      <w:pPr>
        <w:spacing w:after="0" w:line="234"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For all patent applications, we determine strategy for claim scope on a case-by-case basis, taking into account advice of counsel and our business model and needs. We file patents containing claims for 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95"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Our patent estate includes patent applications with claims relating to our product candidates, methods of use and manufacturing processes, and claims for potential future products and developments. As of January 31, 2026, we have nearly 100 issued patents and patent applications pending in the United States and foreign jurisdictions relating to tovecimig, CTX-471, CTX-8371, CTX-10726, and other discovery and research programs. We have 7 patents issued in the United States and 23 issued patents in Taiwan, China, Eurasia, Japan, Korea, Malaysia, Singapore and New Zealand related to our CTX- 471 program, and 3 patents issued in the United States, and 8 issued patents in China, Japan, Malaysia, Mexico, and Taiwan, related to our CTX-8371 program. We also have access to patents issued in Australia, Europe and the United States related to our antibody and display programs, as well as 27 patents issued in Australia, Canada, China, Europe, Japan, Korea, Russia and 2 in United States related to our tovecimig program.</w:t>
      </w:r>
    </w:p>
    <w:p>
      <w:pPr>
        <w:spacing w:after="0" w:line="198" w:lineRule="exact"/>
        <w:rPr>
          <w:sz w:val="20"/>
          <w:szCs w:val="20"/>
          <w:color w:val="auto"/>
        </w:rPr>
      </w:pPr>
    </w:p>
    <w:p>
      <w:pPr>
        <w:ind w:right="220" w:firstLine="490"/>
        <w:spacing w:after="0" w:line="253" w:lineRule="auto"/>
        <w:rPr>
          <w:sz w:val="20"/>
          <w:szCs w:val="20"/>
          <w:color w:val="auto"/>
        </w:rPr>
      </w:pPr>
      <w:r>
        <w:rPr>
          <w:rFonts w:ascii="Arial" w:cs="Arial" w:eastAsia="Arial" w:hAnsi="Arial"/>
          <w:sz w:val="20"/>
          <w:szCs w:val="20"/>
          <w:color w:val="auto"/>
        </w:rPr>
        <w:t>More specifically, we have licensed 2 patent families with 2 issued patents in U.S. and 27 issued patents in foreign jurisdictions, related to our DLL4/VEGF antibody program including, but not limited to, our tovecimig therapeutic candidate. Patents in these patent families are generally expected to start to expire in 2033, subject to possible extension.</w:t>
      </w:r>
    </w:p>
    <w:p>
      <w:pPr>
        <w:spacing w:after="0" w:line="190"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We own 4 pending patent families with 10 issued U.S. patents and issued patents in Taiwan, China, Eurasia, Israel, Japan, Korea, Malaysia, Mexico, Singapore, and New Zealand, 3 U.S. patent applications, and 35 patent applications in foreign jurisdictions, related to our CD137 agonist antibody therapeutic platform including, but not limited to, our CTX-471 therapeutic candidate. Patents that grant from these patent families are generally expected to start to expire in 2038, subject to possible patent term extension.</w:t>
      </w:r>
    </w:p>
    <w:p>
      <w:pPr>
        <w:spacing w:after="0" w:line="194" w:lineRule="exact"/>
        <w:rPr>
          <w:sz w:val="20"/>
          <w:szCs w:val="20"/>
          <w:color w:val="auto"/>
        </w:rPr>
      </w:pPr>
    </w:p>
    <w:p>
      <w:pPr>
        <w:ind w:right="180" w:firstLine="490"/>
        <w:spacing w:after="0" w:line="281" w:lineRule="auto"/>
        <w:rPr>
          <w:sz w:val="20"/>
          <w:szCs w:val="20"/>
          <w:color w:val="auto"/>
        </w:rPr>
      </w:pPr>
      <w:r>
        <w:rPr>
          <w:rFonts w:ascii="Arial" w:cs="Arial" w:eastAsia="Arial" w:hAnsi="Arial"/>
          <w:sz w:val="19"/>
          <w:szCs w:val="19"/>
          <w:color w:val="auto"/>
        </w:rPr>
        <w:t>We own 1 pending patent family with 3 issued U.S. patents, issued patents in China, Japan, Malaysia, Mexico, and Taiwan, 1 U.S. patent application, and 21 patent applications in foreign jurisdictions, related to our PD-1/PD-L1 bispecific antibody therapeutic platform including, but not limited</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9360"/>
          </w:cols>
          <w:pgMar w:left="1440" w:top="988" w:right="1440" w:bottom="161" w:gutter="0" w:footer="0" w:header="0"/>
        </w:sectPr>
      </w:pPr>
    </w:p>
    <w:bookmarkStart w:id="21" w:name="page22"/>
    <w:bookmarkEnd w:id="21"/>
    <w:p>
      <w:pPr>
        <w:ind w:right="620"/>
        <w:spacing w:after="0" w:line="282" w:lineRule="auto"/>
        <w:rPr>
          <w:sz w:val="20"/>
          <w:szCs w:val="20"/>
          <w:color w:val="auto"/>
        </w:rPr>
      </w:pPr>
      <w:r>
        <w:rPr>
          <w:rFonts w:ascii="Arial" w:cs="Arial" w:eastAsia="Arial" w:hAnsi="Arial"/>
          <w:sz w:val="20"/>
          <w:szCs w:val="20"/>
          <w:color w:val="auto"/>
        </w:rPr>
        <w:t>to, our CTX- 8371 therapeutic candidate. Patents that grant from these patent families are generally expected to start to expire in 2039, subject to possible patent term extension.</w:t>
      </w:r>
    </w:p>
    <w:p>
      <w:pPr>
        <w:spacing w:after="0" w:line="158" w:lineRule="exact"/>
        <w:rPr>
          <w:sz w:val="20"/>
          <w:szCs w:val="20"/>
          <w:color w:val="auto"/>
        </w:rPr>
      </w:pPr>
    </w:p>
    <w:p>
      <w:pPr>
        <w:ind w:right="360" w:firstLine="490"/>
        <w:spacing w:after="0" w:line="254" w:lineRule="auto"/>
        <w:rPr>
          <w:sz w:val="20"/>
          <w:szCs w:val="20"/>
          <w:color w:val="auto"/>
        </w:rPr>
      </w:pPr>
      <w:r>
        <w:rPr>
          <w:rFonts w:ascii="Arial" w:cs="Arial" w:eastAsia="Arial" w:hAnsi="Arial"/>
          <w:sz w:val="20"/>
          <w:szCs w:val="20"/>
          <w:color w:val="auto"/>
        </w:rPr>
        <w:t>We own, or have an ownership interest in, 2 pending patent families with 1 issued patent in the U.S., 1 U.S. pending patent application and 2 patent applications in foreign jurisdictions, related to our CD277 discovery and research programs. Patents that grant from these patent families are generally expected to start to expire in 2039, subject to possible patent term extension.</w:t>
      </w:r>
    </w:p>
    <w:p>
      <w:pPr>
        <w:spacing w:after="0" w:line="188" w:lineRule="exact"/>
        <w:rPr>
          <w:sz w:val="20"/>
          <w:szCs w:val="20"/>
          <w:color w:val="auto"/>
        </w:rPr>
      </w:pPr>
    </w:p>
    <w:p>
      <w:pPr>
        <w:ind w:right="60" w:firstLine="489"/>
        <w:spacing w:after="0" w:line="253" w:lineRule="auto"/>
        <w:rPr>
          <w:sz w:val="20"/>
          <w:szCs w:val="20"/>
          <w:color w:val="auto"/>
        </w:rPr>
      </w:pPr>
      <w:r>
        <w:rPr>
          <w:rFonts w:ascii="Arial" w:cs="Arial" w:eastAsia="Arial" w:hAnsi="Arial"/>
          <w:sz w:val="20"/>
          <w:szCs w:val="20"/>
          <w:color w:val="auto"/>
        </w:rPr>
        <w:t>We own 1 pending patent family with 1 issued U.S. patent and 1 patent application in foreign jurisdictions related to our antibody and display programs including, but not limited to, common light chains. Patents that grant from this patent family are generally expected to start to expire in 2039, subject to possible patent term extension.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Trademark Protection</w:t>
      </w:r>
    </w:p>
    <w:p>
      <w:pPr>
        <w:spacing w:after="0" w:line="236" w:lineRule="exact"/>
        <w:rPr>
          <w:sz w:val="20"/>
          <w:szCs w:val="20"/>
          <w:color w:val="auto"/>
        </w:rPr>
      </w:pPr>
    </w:p>
    <w:p>
      <w:pPr>
        <w:ind w:right="160" w:firstLine="490"/>
        <w:spacing w:after="0" w:line="274" w:lineRule="auto"/>
        <w:rPr>
          <w:sz w:val="20"/>
          <w:szCs w:val="20"/>
          <w:color w:val="auto"/>
        </w:rPr>
      </w:pPr>
      <w:r>
        <w:rPr>
          <w:rFonts w:ascii="Arial" w:cs="Arial" w:eastAsia="Arial" w:hAnsi="Arial"/>
          <w:sz w:val="20"/>
          <w:szCs w:val="20"/>
          <w:color w:val="auto"/>
        </w:rPr>
        <w:t>We have filed for and obtained trademark protection in multiple jurisdictions for the COMPASS THERAPEUTICS word mark and logo for goods and services. We have filed for and obtained trademark protection on the StitchMabs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word mark in the United States for services.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 Secret Protection</w:t>
      </w:r>
    </w:p>
    <w:p>
      <w:pPr>
        <w:spacing w:after="0" w:line="236"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 -how and inventions. For further information, please see “</w:t>
      </w:r>
      <w:r>
        <w:rPr>
          <w:rFonts w:ascii="Arial" w:cs="Arial" w:eastAsia="Arial" w:hAnsi="Arial"/>
          <w:sz w:val="20"/>
          <w:szCs w:val="20"/>
          <w:i w:val="1"/>
          <w:iCs w:val="1"/>
          <w:color w:val="auto"/>
        </w:rPr>
        <w:t>Risk Factors—Risks Related to Our Intellectual Property</w:t>
      </w:r>
      <w:r>
        <w:rPr>
          <w:rFonts w:ascii="Arial" w:cs="Arial" w:eastAsia="Arial" w:hAnsi="Arial"/>
          <w:sz w:val="20"/>
          <w:szCs w:val="20"/>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4" w:lineRule="exact"/>
        <w:rPr>
          <w:sz w:val="20"/>
          <w:szCs w:val="20"/>
          <w:color w:val="auto"/>
        </w:rPr>
      </w:pPr>
    </w:p>
    <w:p>
      <w:pPr>
        <w:ind w:right="20" w:firstLine="490"/>
        <w:spacing w:after="0" w:line="238" w:lineRule="auto"/>
        <w:rPr>
          <w:sz w:val="20"/>
          <w:szCs w:val="20"/>
          <w:color w:val="auto"/>
        </w:rPr>
      </w:pPr>
      <w:r>
        <w:rPr>
          <w:rFonts w:ascii="Arial" w:cs="Arial" w:eastAsia="Arial" w:hAnsi="Arial"/>
          <w:sz w:val="20"/>
          <w:szCs w:val="20"/>
          <w:color w:val="auto"/>
        </w:rPr>
        <w:t>The biotechnology and pharmaceutical industries, and the immuno-oncology subsector, are characterized by rapid evolution of technologies, fierce competition and strong defense of intellectual property. We believe that our programs, including tovecimig, CTX-471, CTX-8371, CTX-10726, and our platform technologies, including our StitchMabs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platform and our programs,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 such as AbbVie, Amgen, Inc., AstraZeneca plc, Bristol-Myers Squibb Company, Eli Lilly, Genentech, Inc., GlaxoSmithKline PLC, Johnson &amp; Johnson, Merck &amp; Co., Inc., Merck KGaA, Novartis AG, Pfizer Inc., Roche Holding Ltd and Sanofi S.A. Moreover, we may also compete with smaller or earlier-stage companies, universities and other research institutions that have developed, are developing or may be developing current and future cancer therapeutics.</w:t>
      </w:r>
    </w:p>
    <w:p>
      <w:pPr>
        <w:spacing w:after="0" w:line="209" w:lineRule="exact"/>
        <w:rPr>
          <w:sz w:val="20"/>
          <w:szCs w:val="20"/>
          <w:color w:val="auto"/>
        </w:rPr>
      </w:pPr>
    </w:p>
    <w:p>
      <w:pPr>
        <w:ind w:right="100" w:firstLine="490"/>
        <w:spacing w:after="0" w:line="245" w:lineRule="auto"/>
        <w:rPr>
          <w:sz w:val="20"/>
          <w:szCs w:val="20"/>
          <w:color w:val="auto"/>
        </w:rPr>
      </w:pPr>
      <w:r>
        <w:rPr>
          <w:rFonts w:ascii="Arial" w:cs="Arial" w:eastAsia="Arial" w:hAnsi="Arial"/>
          <w:sz w:val="20"/>
          <w:szCs w:val="20"/>
          <w:color w:val="auto"/>
        </w:rPr>
        <w:t>Product candidates that we successfully develop will compete with a range of therapies that are currently approved and any new therapies that may become available in the future. Key product features that would affect our ability to effectively compete with other therapeutics include the efficacy, safety and convenience of our products. Currently marketed oncology drugs and therapeutics range from traditional cancer therapies, including chemotherapy, to antibody-drug conjugates, such as Genentech Inc.’s Kadcyla, to immune checkpoint inhibitors targeting CTLA-4, such as BMS’s Yervoy, to PD-1/PD-L1, such as BMS’s Opdivo, Merck &amp; Co.’s Keytruda and Genentech’s Tecentriq, to T cell-engager immunotherapies, such as Amgen’s Blincyto and VEGF targets, such as Genentech Inc.’s Avastin. 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9360"/>
          </w:cols>
          <w:pgMar w:left="1440" w:top="988" w:right="1440" w:bottom="161" w:gutter="0" w:footer="0" w:header="0"/>
        </w:sectPr>
      </w:pPr>
    </w:p>
    <w:bookmarkStart w:id="22" w:name="page23"/>
    <w:bookmarkEnd w:id="22"/>
    <w:p>
      <w:pPr>
        <w:ind w:right="200"/>
        <w:spacing w:after="0" w:line="282" w:lineRule="auto"/>
        <w:rPr>
          <w:sz w:val="20"/>
          <w:szCs w:val="20"/>
          <w:color w:val="auto"/>
        </w:rPr>
      </w:pPr>
      <w:r>
        <w:rPr>
          <w:rFonts w:ascii="Arial" w:cs="Arial" w:eastAsia="Arial" w:hAnsi="Arial"/>
          <w:sz w:val="20"/>
          <w:szCs w:val="20"/>
          <w:color w:val="auto"/>
        </w:rPr>
        <w:t>addition to these marketed therapies, numerous compounds are in clinical development for the potential treatment of cancer.</w:t>
      </w:r>
    </w:p>
    <w:p>
      <w:pPr>
        <w:spacing w:after="0" w:line="158"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Biliary tract cancers are aggressive gastrointestinal cancers that have a very poor prognosis. First line treatment of locally advanced or metastatic BTC includes the chemotherapy combination of gemcitabine and cisplatin, often with the addition of the PD-L1 inhibitor Imfinzi® (durvalumab) or PD-1 inhibitor Keytruda (pemrolizumab). In September of 2022, AstraZeneca received FDA approval of durvalumab in combination with gemcitabine/cisplatin for the first line treatment of BTC. In addition, Merck received FDA approval of pembrolizumab in combination with gemcitabine/cisplatin for the first line treatment of BTC in October of 2023. The only FDA approved therapies for second line treatment of BTC are targeted therapies that address specific tumor mutations or solid tumors that are microsatellite instability high. For example, in November 2024, Jazz Pharmaceuticals received FDA approval of Ziihera (zanidatamab-hrii) for previously treated, unresectable, or metastatic human epidermal growth factor receptor (“HER2”) positive (IHC 3+) biliary tract cancer, which may be beneficial to the small subset of patients in whom HER2 is amplified overexpressed. We believe that the combination of all targeted therapies are appropriately 10-15% of patients with BTC.</w:t>
      </w:r>
    </w:p>
    <w:p>
      <w:pPr>
        <w:spacing w:after="0" w:line="204" w:lineRule="exact"/>
        <w:rPr>
          <w:sz w:val="20"/>
          <w:szCs w:val="20"/>
          <w:color w:val="auto"/>
        </w:rPr>
      </w:pPr>
    </w:p>
    <w:p>
      <w:pPr>
        <w:ind w:right="100" w:firstLine="490"/>
        <w:spacing w:after="0" w:line="245" w:lineRule="auto"/>
        <w:rPr>
          <w:sz w:val="20"/>
          <w:szCs w:val="20"/>
          <w:color w:val="auto"/>
        </w:rPr>
      </w:pPr>
      <w:r>
        <w:rPr>
          <w:rFonts w:ascii="Arial" w:cs="Arial" w:eastAsia="Arial" w:hAnsi="Arial"/>
          <w:sz w:val="20"/>
          <w:szCs w:val="20"/>
          <w:color w:val="auto"/>
        </w:rPr>
        <w:t>Colorectal cancer is the second most common cause of cancer deaths in the United States and constitutes approximately 10% of all annually diagnosed cancer and cancer related deaths globally. Treatment of metastatic disease in the first line typically includes either the VEGF inhibitor Avastin® (bevacizumab) or an EGFR inhibitor such as Erbitux® (cetuximab), combined with chemotherapy. Treatment in the second line includes re-treatment with either a VEGR or EGFR inhibitor and a different chemotherapy regimen that is either oxaliplatin or irinotecan based. Approved therapies for advanced patients with metastatic disease are limited, with approved agents such as Lonsurf® (trifluridine and tipiracil) and Stivarga® (regorafenib) offering only 1-2% response rates and improvement in survival of 1-2 months.</w:t>
      </w:r>
    </w:p>
    <w:p>
      <w:pPr>
        <w:spacing w:after="0" w:line="199"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If we are successful in advancing one or more of our product candidates toward registrational trials and filing a BLA or BLAs, and if we are successful at obtaining approvals from the FDA or any other regulatory agency to market one or more of our product candidates, then the availability of reimbursement from government and other third-party payors will also significantly affect the pricing and competitiveness of our products. Our competitors, who may be successful at obtaining marketing approval from the FDA or other regulatory approval for their products prior to us obtaining marketing approval for our product candidates, could result in our competitors launching their products sooner and establishing a strong market position before we are even able to enter the market.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44"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We hold worldwide rights to all of our product candidates (with the exception of limited countries for tovecimig), which provide us the optionality to grow our internal pipeline independently or partner selected rights to our product candidates in different geographies throughout the world. Subject to receiving marketing approval, we intend to maximize the value of our product candidates by either independently planning to pursue the commercialization of our products in one or more major geographies by building an internal sales and marketing organization, or by seeking collaborations with third parties with commercialization infrastructure.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44" w:lineRule="exact"/>
        <w:rPr>
          <w:sz w:val="20"/>
          <w:szCs w:val="20"/>
          <w:color w:val="auto"/>
        </w:rPr>
      </w:pPr>
    </w:p>
    <w:p>
      <w:pPr>
        <w:jc w:val="both"/>
        <w:ind w:right="40" w:firstLine="490"/>
        <w:spacing w:after="0" w:line="261" w:lineRule="auto"/>
        <w:rPr>
          <w:sz w:val="20"/>
          <w:szCs w:val="20"/>
          <w:color w:val="auto"/>
        </w:rPr>
      </w:pPr>
      <w:r>
        <w:rPr>
          <w:rFonts w:ascii="Arial" w:cs="Arial" w:eastAsia="Arial" w:hAnsi="Arial"/>
          <w:sz w:val="19"/>
          <w:szCs w:val="19"/>
          <w:color w:val="auto"/>
        </w:rPr>
        <w:t>We do not currently own or operate manufacturing facilities for the production of clinical quantities of our product candidates. We have relied on, and intend to continue to rely on, qualified third-party contract manufacturers to produce our product candidates, including clinical supplies to support our clinical trials.</w:t>
      </w:r>
    </w:p>
    <w:p>
      <w:pPr>
        <w:spacing w:after="0" w:line="2"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At the appropriate time in the product development process, we will determine whether to establish manufacturing facilities or continue to rely on third parties to manufacture clinical quantities of any products that we may successfully develop. We expect that commercial quantities of any compound and materials for our product candidates, if approved, will be manufactured in facilities and by processes that comply with FDA and other regulations, which may differ from our current clinical supply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9360"/>
          </w:cols>
          <w:pgMar w:left="1440" w:top="988" w:right="1440" w:bottom="161"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Government Regulation</w:t>
      </w:r>
    </w:p>
    <w:p>
      <w:pPr>
        <w:spacing w:after="0" w:line="244" w:lineRule="exact"/>
        <w:rPr>
          <w:sz w:val="20"/>
          <w:szCs w:val="20"/>
          <w:color w:val="auto"/>
        </w:rPr>
      </w:pPr>
    </w:p>
    <w:p>
      <w:pPr>
        <w:ind w:right="180" w:firstLine="490"/>
        <w:spacing w:after="0" w:line="262" w:lineRule="auto"/>
        <w:rPr>
          <w:sz w:val="20"/>
          <w:szCs w:val="20"/>
          <w:color w:val="auto"/>
        </w:rPr>
      </w:pPr>
      <w:r>
        <w:rPr>
          <w:rFonts w:ascii="Arial" w:cs="Arial" w:eastAsia="Arial" w:hAnsi="Arial"/>
          <w:sz w:val="19"/>
          <w:szCs w:val="19"/>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Review and Approval for Licensing Biologics in the United States</w:t>
      </w:r>
    </w:p>
    <w:p>
      <w:pPr>
        <w:spacing w:after="0" w:line="236"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auto"/>
        </w:rPr>
        <w:t>In the United States, the FDA regulates biological products under the Federal Food, Drug, and Cosmetic Act ("FDCA"), and the Public Health Service Act ("PHSA"), and their implementing regulations. FDA approval is required before any biological product can be marketed in the United States. Biological products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These sanctions could include the FDA’s refusal to approve pending applications, license suspension or revocation, withdrawal of an approval,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204" w:lineRule="exact"/>
        <w:rPr>
          <w:sz w:val="20"/>
          <w:szCs w:val="20"/>
          <w:color w:val="auto"/>
        </w:rPr>
      </w:pPr>
    </w:p>
    <w:p>
      <w:pPr>
        <w:ind w:right="160" w:firstLine="490"/>
        <w:spacing w:after="0" w:line="280" w:lineRule="auto"/>
        <w:rPr>
          <w:sz w:val="20"/>
          <w:szCs w:val="20"/>
          <w:color w:val="auto"/>
        </w:rPr>
      </w:pPr>
      <w:r>
        <w:rPr>
          <w:rFonts w:ascii="Arial" w:cs="Arial" w:eastAsia="Arial" w:hAnsi="Arial"/>
          <w:sz w:val="20"/>
          <w:szCs w:val="20"/>
          <w:color w:val="auto"/>
        </w:rPr>
        <w:t>The process required by the FDA before product candidates may be marketed in the United States generally involves the following:</w:t>
      </w:r>
    </w:p>
    <w:p>
      <w:pPr>
        <w:spacing w:after="0" w:line="54" w:lineRule="exact"/>
        <w:rPr>
          <w:sz w:val="20"/>
          <w:szCs w:val="20"/>
          <w:color w:val="auto"/>
        </w:rPr>
      </w:pPr>
    </w:p>
    <w:p>
      <w:pPr>
        <w:ind w:left="980" w:right="860" w:hanging="491"/>
        <w:spacing w:after="0" w:line="312" w:lineRule="auto"/>
        <w:tabs>
          <w:tab w:leader="none" w:pos="98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completion of extensive nonclinical laboratory tests and nonclinical animal studies, all performed in accordance with the Good Laboratory Practices ("GLP"), regulations;</w:t>
      </w:r>
    </w:p>
    <w:p>
      <w:pPr>
        <w:spacing w:after="0" w:line="27" w:lineRule="exact"/>
        <w:rPr>
          <w:rFonts w:ascii="Arial" w:cs="Arial" w:eastAsia="Arial" w:hAnsi="Arial"/>
          <w:sz w:val="19"/>
          <w:szCs w:val="19"/>
          <w:color w:val="auto"/>
        </w:rPr>
      </w:pPr>
    </w:p>
    <w:p>
      <w:pPr>
        <w:ind w:left="980" w:right="360" w:hanging="491"/>
        <w:spacing w:after="0" w:line="282"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submission to the FDA of an IND, which must become effective before human clinical trials may begin and must be updated annually;</w:t>
      </w:r>
    </w:p>
    <w:p>
      <w:pPr>
        <w:spacing w:after="0" w:line="52" w:lineRule="exact"/>
        <w:rPr>
          <w:rFonts w:ascii="Arial" w:cs="Arial" w:eastAsia="Arial" w:hAnsi="Arial"/>
          <w:sz w:val="20"/>
          <w:szCs w:val="20"/>
          <w:color w:val="auto"/>
        </w:rPr>
      </w:pPr>
    </w:p>
    <w:p>
      <w:pPr>
        <w:ind w:left="980" w:right="1140" w:hanging="490"/>
        <w:spacing w:after="0" w:line="282"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("IRB"), or ethics committee representing each clinical site before each clinical trial may be initiated;</w:t>
      </w:r>
    </w:p>
    <w:p>
      <w:pPr>
        <w:spacing w:after="0" w:line="52" w:lineRule="exact"/>
        <w:rPr>
          <w:rFonts w:ascii="Arial" w:cs="Arial" w:eastAsia="Arial" w:hAnsi="Arial"/>
          <w:sz w:val="20"/>
          <w:szCs w:val="20"/>
          <w:color w:val="auto"/>
        </w:rPr>
      </w:pPr>
    </w:p>
    <w:p>
      <w:pPr>
        <w:jc w:val="both"/>
        <w:ind w:left="980" w:right="340" w:hanging="490"/>
        <w:spacing w:after="0" w:line="261"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in accordance with Good Clinical Practices ("GCPs"), to establish the safety and efficacy of the product candidate for each proposed indication;</w:t>
      </w:r>
    </w:p>
    <w:p>
      <w:pPr>
        <w:spacing w:after="0" w:line="72"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preparation of and submission to the FDA of a BLA, after completion of all pivotal clinical trials;</w:t>
      </w:r>
    </w:p>
    <w:p>
      <w:pPr>
        <w:spacing w:after="0" w:line="134" w:lineRule="exact"/>
        <w:rPr>
          <w:rFonts w:ascii="Arial" w:cs="Arial" w:eastAsia="Arial" w:hAnsi="Arial"/>
          <w:sz w:val="20"/>
          <w:szCs w:val="20"/>
          <w:color w:val="auto"/>
        </w:rPr>
      </w:pPr>
    </w:p>
    <w:p>
      <w:pPr>
        <w:ind w:left="980" w:right="460" w:hanging="490"/>
        <w:spacing w:after="0" w:line="282"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review of the product application by an FDA advisory committee, where appropriate and if applicable;</w:t>
      </w:r>
    </w:p>
    <w:p>
      <w:pPr>
        <w:spacing w:after="0" w:line="52" w:lineRule="exact"/>
        <w:rPr>
          <w:rFonts w:ascii="Arial" w:cs="Arial" w:eastAsia="Arial" w:hAnsi="Arial"/>
          <w:sz w:val="20"/>
          <w:szCs w:val="20"/>
          <w:color w:val="auto"/>
        </w:rPr>
      </w:pPr>
    </w:p>
    <w:p>
      <w:pPr>
        <w:ind w:left="980" w:right="440" w:hanging="490"/>
        <w:spacing w:after="0" w:line="254"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determination by the FDA within 60 days of its receipt of a BLA to file the application for review; satisfactory completion of an FDA pre-approval inspection of the manufacturing facilities where the proposed product is produced to assess compliance with current Good Manufacturing Practices ("cGMP");</w:t>
      </w:r>
    </w:p>
    <w:p>
      <w:pPr>
        <w:spacing w:after="0" w:line="80" w:lineRule="exact"/>
        <w:rPr>
          <w:rFonts w:ascii="Arial" w:cs="Arial" w:eastAsia="Arial" w:hAnsi="Arial"/>
          <w:sz w:val="20"/>
          <w:szCs w:val="20"/>
          <w:color w:val="auto"/>
        </w:rPr>
      </w:pPr>
    </w:p>
    <w:p>
      <w:pPr>
        <w:ind w:left="980" w:right="300" w:hanging="490"/>
        <w:spacing w:after="0" w:line="282"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satisfactory completion of any FDA audits of the clinical trial sites to assure compliance with GCPs, and the integrity of clinical data in support of the BLA; and</w:t>
      </w:r>
    </w:p>
    <w:p>
      <w:pPr>
        <w:spacing w:after="0" w:line="52" w:lineRule="exact"/>
        <w:rPr>
          <w:rFonts w:ascii="Arial" w:cs="Arial" w:eastAsia="Arial" w:hAnsi="Arial"/>
          <w:sz w:val="20"/>
          <w:szCs w:val="20"/>
          <w:color w:val="auto"/>
        </w:rPr>
      </w:pPr>
    </w:p>
    <w:p>
      <w:pPr>
        <w:ind w:left="980" w:right="340" w:hanging="490"/>
        <w:spacing w:after="0" w:line="282"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FDA review and approval of a BLA for a biological product candidate that is safe, pure, and potent prior to any commercial marketing or sale of the product in the United States.</w:t>
      </w:r>
    </w:p>
    <w:p>
      <w:pPr>
        <w:spacing w:after="0" w:line="160" w:lineRule="exact"/>
        <w:rPr>
          <w:sz w:val="20"/>
          <w:szCs w:val="20"/>
          <w:color w:val="auto"/>
        </w:rPr>
      </w:pPr>
    </w:p>
    <w:p>
      <w:pPr>
        <w:jc w:val="both"/>
        <w:ind w:right="640" w:firstLine="490"/>
        <w:spacing w:after="0" w:line="261" w:lineRule="auto"/>
        <w:rPr>
          <w:sz w:val="20"/>
          <w:szCs w:val="20"/>
          <w:color w:val="auto"/>
        </w:rPr>
      </w:pPr>
      <w:r>
        <w:rPr>
          <w:rFonts w:ascii="Arial" w:cs="Arial" w:eastAsia="Arial" w:hAnsi="Arial"/>
          <w:sz w:val="20"/>
          <w:szCs w:val="20"/>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181" w:lineRule="exact"/>
        <w:rPr>
          <w:sz w:val="20"/>
          <w:szCs w:val="20"/>
          <w:color w:val="auto"/>
        </w:rPr>
      </w:pPr>
    </w:p>
    <w:p>
      <w:pPr>
        <w:ind w:right="20" w:firstLine="490"/>
        <w:spacing w:after="0" w:line="260" w:lineRule="auto"/>
        <w:rPr>
          <w:sz w:val="20"/>
          <w:szCs w:val="20"/>
          <w:color w:val="auto"/>
        </w:rPr>
      </w:pPr>
      <w:r>
        <w:rPr>
          <w:rFonts w:ascii="Arial" w:cs="Arial" w:eastAsia="Arial" w:hAnsi="Arial"/>
          <w:sz w:val="20"/>
          <w:szCs w:val="20"/>
          <w:color w:val="auto"/>
        </w:rPr>
        <w:t>Before testing any drug or biologic in humans, a product candidate must undergo rigorous preclinical testing. Preclinical studies include laboratory evaluations of product chemistry, formulation, and stability, as well as in vitro and animal studies to assess safety and in some cases to establish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9360"/>
          </w:cols>
          <w:pgMar w:left="1440" w:top="984" w:right="1440" w:bottom="161" w:gutter="0" w:footer="0" w:header="0"/>
        </w:sectPr>
      </w:pPr>
    </w:p>
    <w:bookmarkStart w:id="24" w:name="page25"/>
    <w:bookmarkEnd w:id="24"/>
    <w:p>
      <w:pPr>
        <w:ind w:right="120"/>
        <w:spacing w:after="0" w:line="253" w:lineRule="auto"/>
        <w:rPr>
          <w:sz w:val="20"/>
          <w:szCs w:val="20"/>
          <w:color w:val="auto"/>
        </w:rPr>
      </w:pPr>
      <w:r>
        <w:rPr>
          <w:rFonts w:ascii="Arial" w:cs="Arial" w:eastAsia="Arial" w:hAnsi="Arial"/>
          <w:sz w:val="20"/>
          <w:szCs w:val="20"/>
          <w:color w:val="auto"/>
        </w:rPr>
        <w:t>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90"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An IND is a request for authorization from the FDA to administer an investigational biological product to humans in clinical trials. The central focus of an IND submission is on the general investigational plan, the protocol(s) for human trials and the safety of trial participants. The IND also includes results of animal and in vitro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Trials</w:t>
      </w:r>
    </w:p>
    <w:p>
      <w:pPr>
        <w:spacing w:after="0" w:line="232"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the inclusion and exclusion criteria,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clinical investigation of a biological product is generally divided into three or four phases.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Although the phases are usually conducted sequentially, they may overlap or be combined.</w:t>
      </w:r>
    </w:p>
    <w:p>
      <w:pPr>
        <w:spacing w:after="0" w:line="214" w:lineRule="exact"/>
        <w:rPr>
          <w:sz w:val="20"/>
          <w:szCs w:val="20"/>
          <w:color w:val="auto"/>
        </w:rPr>
      </w:pPr>
    </w:p>
    <w:p>
      <w:pPr>
        <w:ind w:left="480" w:right="80"/>
        <w:spacing w:after="0" w:line="253" w:lineRule="auto"/>
        <w:rPr>
          <w:sz w:val="20"/>
          <w:szCs w:val="20"/>
          <w:color w:val="auto"/>
        </w:rPr>
      </w:pPr>
      <w:r>
        <w:rPr>
          <w:rFonts w:ascii="Arial" w:cs="Arial" w:eastAsia="Arial" w:hAnsi="Arial"/>
          <w:sz w:val="20"/>
          <w:szCs w:val="20"/>
          <w:i w:val="1"/>
          <w:iCs w:val="1"/>
          <w:color w:val="auto"/>
        </w:rPr>
        <w:t>Phase 1</w:t>
      </w:r>
      <w:r>
        <w:rPr>
          <w:rFonts w:ascii="Arial" w:cs="Arial" w:eastAsia="Arial" w:hAnsi="Arial"/>
          <w:sz w:val="20"/>
          <w:szCs w:val="20"/>
          <w:color w:val="auto"/>
        </w:rPr>
        <w:t>. The investigational product is initially introduced into healthy human subjects or patients</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target disease or condition. These trials are designed to evaluate the safety, dosage tolerance, metabolism and pharmacologic actions of the investigational product in humans, the side effects associated with increasing doses, and if possible, to gain early evidence on effectiveness.</w:t>
      </w:r>
    </w:p>
    <w:p>
      <w:pPr>
        <w:spacing w:after="0" w:line="190" w:lineRule="exact"/>
        <w:rPr>
          <w:sz w:val="20"/>
          <w:szCs w:val="20"/>
          <w:color w:val="auto"/>
        </w:rPr>
      </w:pPr>
    </w:p>
    <w:p>
      <w:pPr>
        <w:ind w:left="480" w:right="280"/>
        <w:spacing w:after="0" w:line="261" w:lineRule="auto"/>
        <w:rPr>
          <w:sz w:val="20"/>
          <w:szCs w:val="20"/>
          <w:color w:val="auto"/>
        </w:rPr>
      </w:pPr>
      <w:r>
        <w:rPr>
          <w:rFonts w:ascii="Arial" w:cs="Arial" w:eastAsia="Arial" w:hAnsi="Arial"/>
          <w:sz w:val="20"/>
          <w:szCs w:val="20"/>
          <w:i w:val="1"/>
          <w:iCs w:val="1"/>
          <w:color w:val="auto"/>
        </w:rPr>
        <w:t>Phase 2</w:t>
      </w:r>
      <w:r>
        <w:rPr>
          <w:rFonts w:ascii="Arial" w:cs="Arial" w:eastAsia="Arial" w:hAnsi="Arial"/>
          <w:sz w:val="20"/>
          <w:szCs w:val="20"/>
          <w:color w:val="auto"/>
        </w:rPr>
        <w:t>. The investigational product is administered to a limited patient population to evaluate</w:t>
      </w:r>
      <w:r>
        <w:rPr>
          <w:rFonts w:ascii="Arial" w:cs="Arial" w:eastAsia="Arial" w:hAnsi="Arial"/>
          <w:sz w:val="20"/>
          <w:szCs w:val="20"/>
          <w:i w:val="1"/>
          <w:iCs w:val="1"/>
          <w:color w:val="auto"/>
        </w:rPr>
        <w:t xml:space="preserve"> </w:t>
      </w:r>
      <w:r>
        <w:rPr>
          <w:rFonts w:ascii="Arial" w:cs="Arial" w:eastAsia="Arial" w:hAnsi="Arial"/>
          <w:sz w:val="20"/>
          <w:szCs w:val="20"/>
          <w:color w:val="auto"/>
        </w:rPr>
        <w:t>dosage tolerance and optimal dosage, identify possible adverse side effects and safety risks, and preliminarily evaluate efficacy.</w:t>
      </w:r>
    </w:p>
    <w:p>
      <w:pPr>
        <w:spacing w:after="0" w:line="181" w:lineRule="exact"/>
        <w:rPr>
          <w:sz w:val="20"/>
          <w:szCs w:val="20"/>
          <w:color w:val="auto"/>
        </w:rPr>
      </w:pPr>
    </w:p>
    <w:p>
      <w:pPr>
        <w:ind w:left="480" w:right="200"/>
        <w:spacing w:after="0" w:line="253" w:lineRule="auto"/>
        <w:rPr>
          <w:sz w:val="20"/>
          <w:szCs w:val="20"/>
          <w:color w:val="auto"/>
        </w:rPr>
      </w:pPr>
      <w:r>
        <w:rPr>
          <w:rFonts w:ascii="Arial" w:cs="Arial" w:eastAsia="Arial" w:hAnsi="Arial"/>
          <w:sz w:val="20"/>
          <w:szCs w:val="20"/>
          <w:i w:val="1"/>
          <w:iCs w:val="1"/>
          <w:color w:val="auto"/>
        </w:rPr>
        <w:t>Phase 3</w:t>
      </w:r>
      <w:r>
        <w:rPr>
          <w:rFonts w:ascii="Arial" w:cs="Arial" w:eastAsia="Arial" w:hAnsi="Arial"/>
          <w:sz w:val="20"/>
          <w:szCs w:val="20"/>
          <w:color w:val="auto"/>
        </w:rPr>
        <w:t>. The investigational product is administered to an expanded patient population, generally</w:t>
      </w:r>
      <w:r>
        <w:rPr>
          <w:rFonts w:ascii="Arial" w:cs="Arial" w:eastAsia="Arial" w:hAnsi="Arial"/>
          <w:sz w:val="20"/>
          <w:szCs w:val="20"/>
          <w:i w:val="1"/>
          <w:iCs w:val="1"/>
          <w:color w:val="auto"/>
        </w:rPr>
        <w:t xml:space="preserve"> </w:t>
      </w:r>
      <w:r>
        <w:rPr>
          <w:rFonts w:ascii="Arial" w:cs="Arial" w:eastAsia="Arial" w:hAnsi="Arial"/>
          <w:sz w:val="20"/>
          <w:szCs w:val="20"/>
          <w:color w:val="auto"/>
        </w:rPr>
        <w:t>at geographically dispersed clinical trial sites to generate enough data to statistically evaluate safety, purity and potency, to evaluate the overall benefit-risk profile of the investigational product, and to provide an adequate basis for physician labeling.</w:t>
      </w:r>
    </w:p>
    <w:p>
      <w:pPr>
        <w:spacing w:after="0" w:line="190" w:lineRule="exact"/>
        <w:rPr>
          <w:sz w:val="20"/>
          <w:szCs w:val="20"/>
          <w:color w:val="auto"/>
        </w:rPr>
      </w:pPr>
    </w:p>
    <w:p>
      <w:pPr>
        <w:ind w:left="480" w:right="200"/>
        <w:spacing w:after="0" w:line="253" w:lineRule="auto"/>
        <w:rPr>
          <w:sz w:val="20"/>
          <w:szCs w:val="20"/>
          <w:color w:val="auto"/>
        </w:rPr>
      </w:pPr>
      <w:r>
        <w:rPr>
          <w:rFonts w:ascii="Arial" w:cs="Arial" w:eastAsia="Arial" w:hAnsi="Arial"/>
          <w:sz w:val="20"/>
          <w:szCs w:val="20"/>
          <w:i w:val="1"/>
          <w:iCs w:val="1"/>
          <w:color w:val="auto"/>
        </w:rPr>
        <w:t>Phase 4</w:t>
      </w:r>
      <w:r>
        <w:rPr>
          <w:rFonts w:ascii="Arial" w:cs="Arial" w:eastAsia="Arial" w:hAnsi="Arial"/>
          <w:sz w:val="20"/>
          <w:szCs w:val="20"/>
          <w:color w:val="auto"/>
        </w:rPr>
        <w:t>. In some cases, the FDA may condition approval of a BLA for a product candidate on the</w:t>
      </w:r>
      <w:r>
        <w:rPr>
          <w:rFonts w:ascii="Arial" w:cs="Arial" w:eastAsia="Arial" w:hAnsi="Arial"/>
          <w:sz w:val="20"/>
          <w:szCs w:val="20"/>
          <w:i w:val="1"/>
          <w:iCs w:val="1"/>
          <w:color w:val="auto"/>
        </w:rPr>
        <w:t xml:space="preserve"> </w:t>
      </w:r>
      <w:r>
        <w:rPr>
          <w:rFonts w:ascii="Arial" w:cs="Arial" w:eastAsia="Arial" w:hAnsi="Arial"/>
          <w:sz w:val="20"/>
          <w:szCs w:val="20"/>
          <w:color w:val="auto"/>
        </w:rPr>
        <w:t>sponsor’s agreement to conduct additional clinical trials after approval. In other cases, a sponsor may voluntarily conduct additional clinical trials after approval to gain more information about the biological product. Such post-approval trials are typically referred to as Phase 4 clinical trials.</w:t>
      </w:r>
    </w:p>
    <w:p>
      <w:pPr>
        <w:spacing w:after="0" w:line="190" w:lineRule="exact"/>
        <w:rPr>
          <w:sz w:val="20"/>
          <w:szCs w:val="20"/>
          <w:color w:val="auto"/>
        </w:rPr>
      </w:pPr>
    </w:p>
    <w:p>
      <w:pPr>
        <w:ind w:right="120" w:firstLine="490"/>
        <w:spacing w:after="0" w:line="266" w:lineRule="auto"/>
        <w:rPr>
          <w:sz w:val="20"/>
          <w:szCs w:val="20"/>
          <w:color w:val="auto"/>
        </w:rPr>
      </w:pPr>
      <w:r>
        <w:rPr>
          <w:rFonts w:ascii="Arial" w:cs="Arial" w:eastAsia="Arial" w:hAnsi="Arial"/>
          <w:sz w:val="19"/>
          <w:szCs w:val="19"/>
          <w:color w:val="auto"/>
        </w:rPr>
        <w:t>In March 2022, the FDA released a final guidance titled “Expansion Cohorts: Use in First -In-Human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9360"/>
          </w:cols>
          <w:pgMar w:left="1440" w:top="988" w:right="1440" w:bottom="161" w:gutter="0" w:footer="0" w:header="0"/>
        </w:sectPr>
      </w:pPr>
    </w:p>
    <w:bookmarkStart w:id="25" w:name="page26"/>
    <w:bookmarkEnd w:id="25"/>
    <w:p>
      <w:pPr>
        <w:ind w:right="60"/>
        <w:spacing w:after="0" w:line="282" w:lineRule="auto"/>
        <w:rPr>
          <w:sz w:val="20"/>
          <w:szCs w:val="20"/>
          <w:color w:val="auto"/>
        </w:rPr>
      </w:pPr>
      <w:r>
        <w:rPr>
          <w:rFonts w:ascii="Arial" w:cs="Arial" w:eastAsia="Arial" w:hAnsi="Arial"/>
          <w:sz w:val="20"/>
          <w:szCs w:val="20"/>
          <w:color w:val="auto"/>
        </w:rPr>
        <w:t>design of individual expansion cohorts is included in IND applications and assessed by FDA. Expansion cohort trials can potentially bring efficiency to drug development and reduce development costs and time.</w:t>
      </w:r>
    </w:p>
    <w:p>
      <w:pPr>
        <w:spacing w:after="0" w:line="158"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and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201"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A sponsor of an investigational biological product for a serious disease or condition is required to make available, such as by posting on its website, its policy on evaluating and responding to requests for individual patient access to such investigational biological product. This requirement applies on the earlier of the first initiation of a Phase 2 or Phase 3 trial of the investigational biological product or, as applicable, 15 days after the biological product receives a designation as a breakthrough therapy or fast track product.</w:t>
      </w:r>
    </w:p>
    <w:p>
      <w:pPr>
        <w:spacing w:after="0" w:line="194" w:lineRule="exact"/>
        <w:rPr>
          <w:sz w:val="20"/>
          <w:szCs w:val="20"/>
          <w:color w:val="auto"/>
        </w:rPr>
      </w:pPr>
    </w:p>
    <w:p>
      <w:pPr>
        <w:ind w:right="180" w:firstLine="490"/>
        <w:spacing w:after="0" w:line="245" w:lineRule="auto"/>
        <w:rPr>
          <w:sz w:val="20"/>
          <w:szCs w:val="20"/>
          <w:color w:val="auto"/>
        </w:rPr>
      </w:pPr>
      <w:r>
        <w:rPr>
          <w:rFonts w:ascii="Arial" w:cs="Arial" w:eastAsia="Arial" w:hAnsi="Arial"/>
          <w:sz w:val="20"/>
          <w:szCs w:val="20"/>
          <w:color w:val="auto"/>
        </w:rPr>
        <w:t>Concurrent with clinical trials, sponsors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01"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auto"/>
        </w:rPr>
        <w:t>Sponsors of applicable clinical trials of FDA-regulated products are required to register and disclose certain clinical trial information within specific timeframes for publication on www.clinicaltrials.gov. Sponsors also must disclose certain results of these clinical trials, although disclosure of results may be delayed until after the new product or new indication has been approved by the FDA. Competitors may use this publicly available information to gain knowledge regarding the progress of development programs, as well as clinical trial design.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Submission of a BLA to the FDA</w:t>
      </w:r>
    </w:p>
    <w:p>
      <w:pPr>
        <w:spacing w:after="0" w:line="230"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Assuming successful completion of all required testing in accordance with all applicable regulatory requirements, detailed investigational product information is submitted to the FDA in the form of a BLA requesting approval to market the product for one or more indications. Under federal law, the submission of most BLAs is subject to an application user fee. For fiscal year 2025, the user fee for an application requiring clinical data is $4,310,002, and the sponsor of an approved BLA is also subject to an annual program fee of $403,889 for each approved biological product on the market. These fees are typically increased annually. Applications for orphan drug products are exempted from the BLA application fee and may be exempted from program fees, unless the application includes an indication for other than a rare disease or condition.</w:t>
      </w:r>
    </w:p>
    <w:p>
      <w:pPr>
        <w:spacing w:after="0" w:line="199" w:lineRule="exact"/>
        <w:rPr>
          <w:sz w:val="20"/>
          <w:szCs w:val="20"/>
          <w:color w:val="auto"/>
        </w:rPr>
      </w:pPr>
    </w:p>
    <w:p>
      <w:pPr>
        <w:ind w:right="220" w:firstLine="490"/>
        <w:spacing w:after="0" w:line="250" w:lineRule="auto"/>
        <w:rPr>
          <w:sz w:val="20"/>
          <w:szCs w:val="20"/>
          <w:color w:val="auto"/>
        </w:rPr>
      </w:pPr>
      <w:r>
        <w:rPr>
          <w:rFonts w:ascii="Arial" w:cs="Arial" w:eastAsia="Arial" w:hAnsi="Arial"/>
          <w:sz w:val="20"/>
          <w:szCs w:val="20"/>
          <w:color w:val="auto"/>
        </w:rPr>
        <w:t>A BLA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9360"/>
          </w:cols>
          <w:pgMar w:left="1440" w:top="988" w:right="1440" w:bottom="161" w:gutter="0" w:footer="0" w:header="0"/>
        </w:sectPr>
      </w:pPr>
    </w:p>
    <w:bookmarkStart w:id="26" w:name="page27"/>
    <w:bookmarkEnd w:id="26"/>
    <w:p>
      <w:pPr>
        <w:ind w:right="180"/>
        <w:spacing w:after="0" w:line="282" w:lineRule="auto"/>
        <w:rPr>
          <w:sz w:val="20"/>
          <w:szCs w:val="20"/>
          <w:color w:val="auto"/>
        </w:rPr>
      </w:pPr>
      <w:r>
        <w:rPr>
          <w:rFonts w:ascii="Arial" w:cs="Arial" w:eastAsia="Arial" w:hAnsi="Arial"/>
          <w:sz w:val="20"/>
          <w:szCs w:val="20"/>
          <w:color w:val="auto"/>
        </w:rPr>
        <w:t>support marketing approval, the data submitted must be sufficient in quality and quantity to establish the safety and effectiveness of the investigational product to the satisfaction of the FDA.</w:t>
      </w:r>
    </w:p>
    <w:p>
      <w:pPr>
        <w:spacing w:after="0" w:line="158"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The FDA conducts a preliminary review of all BLAs within the first 60 days after submission before accepting them for filing to determine whether they are sufficiently complete to permit substantive review. The FDA may request additional information rather than accept an application for filing. Once a BLA has been submitted, the FDA’s goal for novel biological products generally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spacing w:after="0" w:line="195"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w:t>
      </w:r>
    </w:p>
    <w:p>
      <w:pPr>
        <w:spacing w:after="0" w:line="192" w:lineRule="exact"/>
        <w:rPr>
          <w:sz w:val="20"/>
          <w:szCs w:val="20"/>
          <w:color w:val="auto"/>
        </w:rPr>
      </w:pPr>
    </w:p>
    <w:p>
      <w:pPr>
        <w:ind w:right="220" w:firstLine="490"/>
        <w:spacing w:after="0" w:line="248" w:lineRule="auto"/>
        <w:rPr>
          <w:sz w:val="20"/>
          <w:szCs w:val="20"/>
          <w:color w:val="auto"/>
        </w:rPr>
      </w:pPr>
      <w:r>
        <w:rPr>
          <w:rFonts w:ascii="Arial" w:cs="Arial" w:eastAsia="Arial" w:hAnsi="Arial"/>
          <w:sz w:val="20"/>
          <w:szCs w:val="20"/>
          <w:color w:val="auto"/>
        </w:rPr>
        <w:t>The FDA is required to refer an application for a novel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FDA’s Decision on a BLA</w:t>
      </w:r>
    </w:p>
    <w:p>
      <w:pPr>
        <w:spacing w:after="0" w:line="232"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After the FDA evaluates the BLA and conducts relevant inspections, it may issue an approval letter or a Complete Response Letter. An approval letter authorizes commercial marketing of the biological product with specific prescribing information for specific indications. A Complete Response Letter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does not satisfy the criteria for approval and issue a denial.</w:t>
      </w:r>
    </w:p>
    <w:p>
      <w:pPr>
        <w:spacing w:after="0" w:line="196" w:lineRule="exact"/>
        <w:rPr>
          <w:sz w:val="20"/>
          <w:szCs w:val="20"/>
          <w:color w:val="auto"/>
        </w:rPr>
      </w:pPr>
    </w:p>
    <w:p>
      <w:pPr>
        <w:ind w:right="100" w:firstLine="490"/>
        <w:spacing w:after="0" w:line="262" w:lineRule="auto"/>
        <w:rPr>
          <w:sz w:val="20"/>
          <w:szCs w:val="20"/>
          <w:color w:val="auto"/>
        </w:rPr>
      </w:pPr>
      <w:r>
        <w:rPr>
          <w:rFonts w:ascii="Arial" w:cs="Arial" w:eastAsia="Arial" w:hAnsi="Arial"/>
          <w:sz w:val="19"/>
          <w:szCs w:val="19"/>
          <w:color w:val="auto"/>
        </w:rPr>
        <w:t>The FDA could also approve the BLA with a Risk Evaluation and Mitigation Strategy ("REMS"), program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181"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auto"/>
        </w:rPr>
        <w:t>New government requirements, including those resulting from new legislation, may be established, or the FDA’s policies may change, which could delay or prevent regulatory approval of our products under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Expedited Review and Accelerated Approval Programs</w:t>
      </w:r>
    </w:p>
    <w:p>
      <w:pPr>
        <w:spacing w:after="0" w:line="230"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A sponsor may seek approval of its product candidate under programs designed to accelerate FDA’s review and approval of BLAs. For example, fast track designation may be granted to a biological product intended for treatment of a serious or life-threatening disease or condition that has potential to address unmet medical needs. The key benefits of fast track designation are more frequent interactions with the FDA during development and testing, the eligibility for priority review, and rolling review, which is submission of portions of an application before the complete marketing application is submitted.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9360"/>
          </w:cols>
          <w:pgMar w:left="1440" w:top="988" w:right="1440" w:bottom="161" w:gutter="0" w:footer="0" w:header="0"/>
        </w:sectPr>
      </w:pPr>
    </w:p>
    <w:bookmarkStart w:id="27" w:name="page28"/>
    <w:bookmarkEnd w:id="27"/>
    <w:p>
      <w:pPr>
        <w:ind w:right="20" w:firstLine="490"/>
        <w:spacing w:after="0" w:line="247" w:lineRule="auto"/>
        <w:rPr>
          <w:sz w:val="20"/>
          <w:szCs w:val="20"/>
          <w:color w:val="auto"/>
        </w:rPr>
      </w:pPr>
      <w:r>
        <w:rPr>
          <w:rFonts w:ascii="Arial" w:cs="Arial" w:eastAsia="Arial" w:hAnsi="Arial"/>
          <w:sz w:val="20"/>
          <w:szCs w:val="20"/>
          <w:color w:val="auto"/>
        </w:rPr>
        <w:t>Additionally, the FDA may grant a product candidate priority review designation, which sets the target date for FDA action on the marketing application for a novel product at six months after the FDA accepts the application for filing. Priority review is granted where the proposed product is intended to treat a serious condition and, if approved, would provide a significant improvement in safety or effectiveness.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94"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Under the accelerated approval program, the FDA may approve a BLA for a product that is intended to treat a serious or life-threatening disease or condition upon the determination that the product generally provides meaningful therapeutic benefit to patients over available treatments and demonstrates an effect on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post- approval confirmatory trials or complete ongoing trials in a diligent manner to verify the product’s clinical benefit in relationship to the surrogate endpoint or ultimate outcome in relationship to the clinical benefit. Under the Food and Drug Omnibus Reform Act of 2022 (“FDORA”), the FDA is now permitted to require, as appropriate, that post-approval confirmatory trials be underway prior to approval or within a specific time period after accelerated approval is granted and the FDA has increased authority for expedited procedures to withdraw approval of a product or an indication approved under accelerated approval if, for example, the confirmatory trial is not conducted with due diligence or fails to verify the predicted clinical benefit of the product. Additionally, the FDA generally requires, unless otherwise informed by the agency, that all advertising and promotional materials intended for dissemination or publication within 120 days of marketing approval be submitted to the agency for preapproval and pre-use review.</w:t>
      </w:r>
    </w:p>
    <w:p>
      <w:pPr>
        <w:spacing w:after="0" w:line="205"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In addition, a sponsor may seek FDA designation of its product candidate as a breakthrough therapy if the biological product is intended, alone or in combination with one or more other drugs or biological products, to treat a serious or life- 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The benefits of breakthrough therapy designation include the same benefits as a fast- track designation, in addition to intensive guidance from FDA to ensure an efficient development program.</w:t>
      </w:r>
    </w:p>
    <w:p>
      <w:pPr>
        <w:spacing w:after="0" w:line="195"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Finally, with respect to oncology products, the FDA may review applications under Real -Time Oncology Review (“RTOR”) established by the FDA’s Oncology Center of Excellence. RTOR allows an applicant to pre-submit components of the application to allow the FDA to review clinical data before the complete filing is submitted in order to create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(for example, a Risk Evaluation and Mitigation Strategy). To determine eligibility for RTOR, the FDA requires top-line efficacy and safety results from an applicant.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Post-Approval Requirements</w:t>
      </w:r>
    </w:p>
    <w:p>
      <w:pPr>
        <w:spacing w:after="0" w:line="232" w:lineRule="exact"/>
        <w:rPr>
          <w:sz w:val="20"/>
          <w:szCs w:val="20"/>
          <w:color w:val="auto"/>
        </w:rPr>
      </w:pPr>
    </w:p>
    <w:p>
      <w:pPr>
        <w:ind w:right="60" w:firstLine="490"/>
        <w:spacing w:after="0" w:line="258" w:lineRule="auto"/>
        <w:rPr>
          <w:sz w:val="20"/>
          <w:szCs w:val="20"/>
          <w:color w:val="auto"/>
        </w:rPr>
      </w:pPr>
      <w:r>
        <w:rPr>
          <w:rFonts w:ascii="Arial" w:cs="Arial" w:eastAsia="Arial" w:hAnsi="Arial"/>
          <w:sz w:val="19"/>
          <w:szCs w:val="19"/>
          <w:color w:val="auto"/>
        </w:rPr>
        <w:t>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Biological product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9360"/>
          </w:cols>
          <w:pgMar w:left="1440" w:top="988" w:right="1440" w:bottom="161" w:gutter="0" w:footer="0" w:header="0"/>
        </w:sectPr>
      </w:pPr>
    </w:p>
    <w:bookmarkStart w:id="28" w:name="page29"/>
    <w:bookmarkEnd w:id="28"/>
    <w:p>
      <w:pPr>
        <w:ind w:right="240"/>
        <w:spacing w:after="0" w:line="248" w:lineRule="auto"/>
        <w:rPr>
          <w:sz w:val="20"/>
          <w:szCs w:val="20"/>
          <w:color w:val="auto"/>
        </w:rPr>
      </w:pPr>
      <w:r>
        <w:rPr>
          <w:rFonts w:ascii="Arial" w:cs="Arial" w:eastAsia="Arial" w:hAnsi="Arial"/>
          <w:sz w:val="20"/>
          <w:szCs w:val="20"/>
          <w:color w:val="auto"/>
        </w:rPr>
        <w:t>that we may decide to use. Manufacturers and manufacturers’ facilities are also required to comply with applicable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w:t>
      </w:r>
    </w:p>
    <w:p>
      <w:pPr>
        <w:spacing w:after="0" w:line="194"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w:t>
      </w:r>
    </w:p>
    <w:p>
      <w:pPr>
        <w:spacing w:after="0" w:line="193"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The FDA may suspend or revoke product license approvals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FDA has authority to require post-market studies, in certain circumstances, on reduced effectiveness of a biological product and FDA may require labeling changes related to new reduced effectiveness information. Other potential consequences of a failure to maintain regulatory compliance include, among other things:</w:t>
      </w:r>
    </w:p>
    <w:p>
      <w:pPr>
        <w:spacing w:after="0" w:line="96" w:lineRule="exact"/>
        <w:rPr>
          <w:sz w:val="20"/>
          <w:szCs w:val="20"/>
          <w:color w:val="auto"/>
        </w:rPr>
      </w:pPr>
    </w:p>
    <w:p>
      <w:pPr>
        <w:ind w:left="980" w:right="560" w:hanging="491"/>
        <w:spacing w:after="0" w:line="282"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52"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fines, untitled or warning letters or holds on post-approval clinical trials;</w:t>
      </w:r>
    </w:p>
    <w:p>
      <w:pPr>
        <w:spacing w:after="0" w:line="13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refusal of the FDA to approve pending BLAs or supplements to approved BLAs;</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 or</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43" w:lineRule="exact"/>
        <w:rPr>
          <w:sz w:val="20"/>
          <w:szCs w:val="20"/>
          <w:color w:val="auto"/>
        </w:rPr>
      </w:pPr>
    </w:p>
    <w:p>
      <w:pPr>
        <w:ind w:right="260" w:firstLine="490"/>
        <w:spacing w:after="0" w:line="250" w:lineRule="auto"/>
        <w:rPr>
          <w:sz w:val="20"/>
          <w:szCs w:val="20"/>
          <w:color w:val="auto"/>
        </w:rPr>
      </w:pPr>
      <w:r>
        <w:rPr>
          <w:rFonts w:ascii="Arial" w:cs="Arial" w:eastAsia="Arial" w:hAnsi="Arial"/>
          <w:sz w:val="20"/>
          <w:szCs w:val="20"/>
          <w:color w:val="auto"/>
        </w:rPr>
        <w:t>The FDA strictly regulates marketing, labeling, advertising, and promotion of products that are placed on the market. Biological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Pediatric Trials and Exclusivity</w:t>
      </w:r>
    </w:p>
    <w:p>
      <w:pPr>
        <w:spacing w:after="0" w:line="232" w:lineRule="exact"/>
        <w:rPr>
          <w:sz w:val="20"/>
          <w:szCs w:val="20"/>
          <w:color w:val="auto"/>
        </w:rPr>
      </w:pPr>
    </w:p>
    <w:p>
      <w:pPr>
        <w:ind w:right="120" w:firstLine="490"/>
        <w:spacing w:after="0" w:line="256" w:lineRule="auto"/>
        <w:rPr>
          <w:sz w:val="20"/>
          <w:szCs w:val="20"/>
          <w:color w:val="auto"/>
        </w:rPr>
      </w:pPr>
      <w:r>
        <w:rPr>
          <w:rFonts w:ascii="Arial" w:cs="Arial" w:eastAsia="Arial" w:hAnsi="Arial"/>
          <w:sz w:val="19"/>
          <w:szCs w:val="19"/>
          <w:color w:val="auto"/>
        </w:rPr>
        <w:t>A sponsor who is planning to submit a marketing application for a biological product that includes a new active ingredient, new indication, new dosage form, new dosing regimen or new route of administration must submit an initial Pediatric Study Plan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Generally, development 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 Additionally, for molecularly targeted cancer drugs, beginning after February 3, 2029, the FDA may require testing of certain novel single ingredient or combination regimens to yield clinically meaningful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9360"/>
          </w:cols>
          <w:pgMar w:left="1440" w:top="988" w:right="1440" w:bottom="161" w:gutter="0" w:footer="0" w:header="0"/>
        </w:sectPr>
      </w:pPr>
    </w:p>
    <w:bookmarkStart w:id="29" w:name="page30"/>
    <w:bookmarkEnd w:id="29"/>
    <w:p>
      <w:pPr>
        <w:ind w:right="240"/>
        <w:spacing w:after="0" w:line="310" w:lineRule="auto"/>
        <w:rPr>
          <w:sz w:val="20"/>
          <w:szCs w:val="20"/>
          <w:color w:val="auto"/>
        </w:rPr>
      </w:pPr>
      <w:r>
        <w:rPr>
          <w:rFonts w:ascii="Arial" w:cs="Arial" w:eastAsia="Arial" w:hAnsi="Arial"/>
          <w:sz w:val="19"/>
          <w:szCs w:val="19"/>
          <w:color w:val="auto"/>
        </w:rPr>
        <w:t>pediatric study data that is gathered using appropriate formulations for each age group for which the study is required, including dosing, safety, and preliminary efficacy to inform potential pediatric labeling.</w:t>
      </w:r>
    </w:p>
    <w:p>
      <w:pPr>
        <w:spacing w:after="0" w:line="134" w:lineRule="exact"/>
        <w:rPr>
          <w:sz w:val="20"/>
          <w:szCs w:val="20"/>
          <w:color w:val="auto"/>
        </w:rPr>
      </w:pPr>
    </w:p>
    <w:p>
      <w:pPr>
        <w:ind w:right="140" w:firstLine="490"/>
        <w:spacing w:after="0" w:line="243" w:lineRule="auto"/>
        <w:rPr>
          <w:sz w:val="20"/>
          <w:szCs w:val="20"/>
          <w:color w:val="auto"/>
        </w:rPr>
      </w:pPr>
      <w:r>
        <w:rPr>
          <w:rFonts w:ascii="Arial" w:cs="Arial" w:eastAsia="Arial" w:hAnsi="Arial"/>
          <w:sz w:val="20"/>
          <w:szCs w:val="20"/>
          <w:color w:val="auto"/>
        </w:rPr>
        <w:t>Pediatric exclusivity is another type of non-patent exclusivity in the United States and, if granted for a biologic, provides for the attachment of an additional six months of marketing protection to the term of any existing regulatory exclusivity for all formulations, dosage forms, and indications of the biologic, including the five-year and three-year non-patent and orphan exclusivity. This six- month exclusivity may be granted if a BLA sponsor submits pediatric data that fairly respond to a written request from the FDA for such data, provided that at the time pediatric exclusivity is granted there is not less than nine months of term remaining.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covering the product are extended by six months. This is not a patent term extension, but it effectively extends the regulatory period during which the FDA cannot accept or approve another application relying on the BLA sponsor’s data.</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Patent Term Restoration</w:t>
      </w:r>
    </w:p>
    <w:p>
      <w:pPr>
        <w:spacing w:after="0" w:line="23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Biosimilars and Exclusivity</w:t>
      </w:r>
    </w:p>
    <w:p>
      <w:pPr>
        <w:spacing w:after="0" w:line="232"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The Patient Protection and Affordable Care Act ("Affordable Care Act"), signed into law on March 23, 2010, includes a subtitle called the Biologics Price Competition and Innovation Act of 2009 ("BPCIA"), which created an abbreviated approval pathway for biological products shown to be similar to, or interchangeable with, an FDA-licensed reference biological product. This amendment to the Public Health Service Act (“PHSA”) attempts to minimize duplicative testing. Biosimilarity, which requires that there be no clinically meaningful differences between the proposed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206" w:lineRule="exact"/>
        <w:rPr>
          <w:sz w:val="20"/>
          <w:szCs w:val="20"/>
          <w:color w:val="auto"/>
        </w:rPr>
      </w:pPr>
    </w:p>
    <w:p>
      <w:pPr>
        <w:ind w:right="40" w:firstLine="490"/>
        <w:spacing w:after="0" w:line="259" w:lineRule="auto"/>
        <w:rPr>
          <w:sz w:val="20"/>
          <w:szCs w:val="20"/>
          <w:color w:val="auto"/>
        </w:rPr>
      </w:pPr>
      <w:r>
        <w:rPr>
          <w:rFonts w:ascii="Arial" w:cs="Arial" w:eastAsia="Arial" w:hAnsi="Arial"/>
          <w:sz w:val="19"/>
          <w:szCs w:val="19"/>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 controlled clinical trials to demonstrate the safety, purity, and potency of its product. In addition, the BPCIA also created certain exclusivity periods for biosimilars approved as interchangeable products. The first biologic submitted under the abbreviated approval pathway that is determined to be interchangeable with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9360"/>
          </w:cols>
          <w:pgMar w:left="1440" w:top="988" w:right="1440" w:bottom="161" w:gutter="0" w:footer="0" w:header="0"/>
        </w:sectPr>
      </w:pPr>
    </w:p>
    <w:bookmarkStart w:id="30" w:name="page31"/>
    <w:bookmarkEnd w:id="30"/>
    <w:p>
      <w:pPr>
        <w:ind w:right="40"/>
        <w:spacing w:after="0" w:line="258" w:lineRule="auto"/>
        <w:rPr>
          <w:sz w:val="20"/>
          <w:szCs w:val="20"/>
          <w:color w:val="auto"/>
        </w:rPr>
      </w:pPr>
      <w:r>
        <w:rPr>
          <w:rFonts w:ascii="Arial" w:cs="Arial" w:eastAsia="Arial" w:hAnsi="Arial"/>
          <w:sz w:val="19"/>
          <w:szCs w:val="19"/>
          <w:color w:val="auto"/>
        </w:rPr>
        <w:t>reference product is eligible for a period of exclusivity against other biologics submitted under the abbreviated approval pathway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 month period. Products deemed “interchangeable” by the FDA may be readily substituted by pharmacies and such substitution is which are governed by state pharmacy law.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European Union/Rest of World Government Regulation</w:t>
      </w:r>
    </w:p>
    <w:p>
      <w:pPr>
        <w:spacing w:after="0" w:line="23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02"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 To obtain regulatory approval of a medicinal product under European Union regulatory systems, we must submit a marketing authorization application. The content of the BLA filed in the United States is similar to that required in the European Union, with the exception of, among other things, country-specific document requirements.</w:t>
      </w:r>
    </w:p>
    <w:p>
      <w:pPr>
        <w:spacing w:after="0" w:line="198" w:lineRule="exact"/>
        <w:rPr>
          <w:sz w:val="20"/>
          <w:szCs w:val="20"/>
          <w:color w:val="auto"/>
        </w:rPr>
      </w:pPr>
    </w:p>
    <w:p>
      <w:pPr>
        <w:ind w:right="420" w:firstLine="490"/>
        <w:spacing w:after="0" w:line="261" w:lineRule="auto"/>
        <w:rPr>
          <w:sz w:val="20"/>
          <w:szCs w:val="20"/>
          <w:color w:val="auto"/>
        </w:rPr>
      </w:pPr>
      <w:r>
        <w:rPr>
          <w:rFonts w:ascii="Arial" w:cs="Arial" w:eastAsia="Arial" w:hAnsi="Arial"/>
          <w:sz w:val="20"/>
          <w:szCs w:val="20"/>
          <w:color w:val="auto"/>
        </w:rPr>
        <w:t>For other countries outside of the European Union, such as countries in Eastern Europe, Latin America or Asia, the requirements governing product licensing, pricing, and reimbursement vary from country to country.</w:t>
      </w:r>
    </w:p>
    <w:p>
      <w:pPr>
        <w:spacing w:after="0" w:line="181" w:lineRule="exact"/>
        <w:rPr>
          <w:sz w:val="20"/>
          <w:szCs w:val="20"/>
          <w:color w:val="auto"/>
        </w:rPr>
      </w:pPr>
    </w:p>
    <w:p>
      <w:pPr>
        <w:ind w:right="160" w:firstLine="490"/>
        <w:spacing w:after="0" w:line="250" w:lineRule="auto"/>
        <w:rPr>
          <w:sz w:val="20"/>
          <w:szCs w:val="20"/>
          <w:color w:val="auto"/>
        </w:rPr>
      </w:pPr>
      <w:r>
        <w:rPr>
          <w:rFonts w:ascii="Arial" w:cs="Arial" w:eastAsia="Arial" w:hAnsi="Arial"/>
          <w:sz w:val="20"/>
          <w:szCs w:val="20"/>
          <w:color w:val="auto"/>
        </w:rPr>
        <w:t>Countries that are part of the European Union, as well as countries outside of the European Union, have their own governing bodies, requirements, and processes with respect to the approval of biological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Trial Approval in the European Union</w:t>
      </w:r>
    </w:p>
    <w:p>
      <w:pPr>
        <w:spacing w:after="0" w:line="232"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auto"/>
        </w:rPr>
        <w:t>In April 2014, the European Union adopted the Clinical Trials Regulation (EU) No 536/2014, which replaced the Clinical Trials Directive 2001/20/EC on January 31, 2022. The Clinical Trials Regulation is directly applicable in all European Union Member States meaning no national implementing legislation in each European Union Member State is required. The Clinical Trials Regulation aims to simplify and streamline the approval of clinical trials in the European Union. Under the new coordinated procedure for the approval of clinical trials, the sponsor of a clinical trial is required to submit a single application for approval of a clinical trial to a reporting European Union Member State centralized portal known as the Clinical Trials Information System. The submission procedure is the same irrespective of whether the clinical trial is to be conducted in a single European Union Member State or in more than one European Union Member State.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9360"/>
          </w:cols>
          <w:pgMar w:left="1440" w:top="988" w:right="1440" w:bottom="161" w:gutter="0" w:footer="0" w:header="0"/>
        </w:sectPr>
      </w:pPr>
    </w:p>
    <w:bookmarkStart w:id="31" w:name="page32"/>
    <w:bookmarkEnd w:id="31"/>
    <w:p>
      <w:pPr>
        <w:spacing w:after="0"/>
        <w:rPr>
          <w:sz w:val="20"/>
          <w:szCs w:val="20"/>
          <w:color w:val="auto"/>
        </w:rPr>
      </w:pPr>
      <w:r>
        <w:rPr>
          <w:rFonts w:ascii="Arial" w:cs="Arial" w:eastAsia="Arial" w:hAnsi="Arial"/>
          <w:sz w:val="20"/>
          <w:szCs w:val="20"/>
          <w:i w:val="1"/>
          <w:iCs w:val="1"/>
          <w:color w:val="auto"/>
        </w:rPr>
        <w:t>Marketing Authorization Procedures in the European Union</w:t>
      </w:r>
    </w:p>
    <w:p>
      <w:pPr>
        <w:spacing w:after="0" w:line="232" w:lineRule="exact"/>
        <w:rPr>
          <w:sz w:val="20"/>
          <w:szCs w:val="20"/>
          <w:color w:val="auto"/>
        </w:rPr>
      </w:pPr>
    </w:p>
    <w:p>
      <w:pPr>
        <w:ind w:right="360" w:firstLine="490"/>
        <w:spacing w:after="0" w:line="280" w:lineRule="auto"/>
        <w:rPr>
          <w:sz w:val="20"/>
          <w:szCs w:val="20"/>
          <w:color w:val="auto"/>
        </w:rPr>
      </w:pPr>
      <w:r>
        <w:rPr>
          <w:rFonts w:ascii="Arial" w:cs="Arial" w:eastAsia="Arial" w:hAnsi="Arial"/>
          <w:sz w:val="20"/>
          <w:szCs w:val="20"/>
          <w:color w:val="auto"/>
        </w:rPr>
        <w:t>Medicines can be authorized in the European Union by using either the centralized authorization procedure or a national authorization procedure.</w:t>
      </w:r>
    </w:p>
    <w:p>
      <w:pPr>
        <w:spacing w:after="0" w:line="162"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i w:val="1"/>
          <w:iCs w:val="1"/>
          <w:color w:val="auto"/>
        </w:rPr>
        <w:t>Centralized procedure</w:t>
      </w:r>
      <w:r>
        <w:rPr>
          <w:rFonts w:ascii="Arial" w:cs="Arial" w:eastAsia="Arial" w:hAnsi="Arial"/>
          <w:sz w:val="20"/>
          <w:szCs w:val="20"/>
          <w:color w:val="auto"/>
        </w:rPr>
        <w:t>. The European Medicines Agency ("EMA"), implemented the centralized</w:t>
      </w:r>
      <w:r>
        <w:rPr>
          <w:rFonts w:ascii="Arial" w:cs="Arial" w:eastAsia="Arial" w:hAnsi="Arial"/>
          <w:sz w:val="20"/>
          <w:szCs w:val="20"/>
          <w:i w:val="1"/>
          <w:iCs w:val="1"/>
          <w:color w:val="auto"/>
        </w:rPr>
        <w:t xml:space="preserve"> </w:t>
      </w:r>
      <w:r>
        <w:rPr>
          <w:rFonts w:ascii="Arial" w:cs="Arial" w:eastAsia="Arial" w:hAnsi="Arial"/>
          <w:sz w:val="20"/>
          <w:szCs w:val="20"/>
          <w:color w:val="auto"/>
        </w:rPr>
        <w:t>procedure for the approval of human medicines to facilitate marketing authorizations that are valid throughout the European Economic Area ("EEA"), which is comprised of the 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 AIDS, cancer, diabetes, neurodegenerative disorders or autoimmune diseases and other immune dysfunctions; are advanced therapy medicines (gene-therapy, somatic cell-therapy or tissue-engineered medicines); and are officially designated orphan medicines.</w:t>
      </w:r>
    </w:p>
    <w:p>
      <w:pPr>
        <w:spacing w:after="0" w:line="204" w:lineRule="exact"/>
        <w:rPr>
          <w:sz w:val="20"/>
          <w:szCs w:val="20"/>
          <w:color w:val="auto"/>
        </w:rPr>
      </w:pPr>
    </w:p>
    <w:p>
      <w:pPr>
        <w:ind w:right="240" w:firstLine="490"/>
        <w:spacing w:after="0" w:line="253" w:lineRule="auto"/>
        <w:rPr>
          <w:sz w:val="20"/>
          <w:szCs w:val="20"/>
          <w:color w:val="auto"/>
        </w:rPr>
      </w:pPr>
      <w:r>
        <w:rPr>
          <w:rFonts w:ascii="Arial" w:cs="Arial" w:eastAsia="Arial" w:hAnsi="Arial"/>
          <w:sz w:val="20"/>
          <w:szCs w:val="20"/>
          <w:color w:val="auto"/>
        </w:rPr>
        <w:t>For medicines that do not fall within these categories, an applicant has the option of submitting an application for a centralized marketing, as long as the medicine concerned is a significant therapeutic, scientific or technical innovation, or if its authorization would be in the interest of public health in the European Union.</w:t>
      </w:r>
    </w:p>
    <w:p>
      <w:pPr>
        <w:spacing w:after="0" w:line="190" w:lineRule="exact"/>
        <w:rPr>
          <w:sz w:val="20"/>
          <w:szCs w:val="20"/>
          <w:color w:val="auto"/>
        </w:rPr>
      </w:pPr>
    </w:p>
    <w:p>
      <w:pPr>
        <w:ind w:right="140" w:firstLine="490"/>
        <w:spacing w:after="0" w:line="242" w:lineRule="auto"/>
        <w:rPr>
          <w:sz w:val="20"/>
          <w:szCs w:val="20"/>
          <w:color w:val="auto"/>
        </w:rPr>
      </w:pPr>
      <w:r>
        <w:rPr>
          <w:rFonts w:ascii="Arial" w:cs="Arial" w:eastAsia="Arial" w:hAnsi="Arial"/>
          <w:sz w:val="20"/>
          <w:szCs w:val="20"/>
          <w:color w:val="auto"/>
        </w:rPr>
        <w:t>Under the centralized procedure, the EMA’s Committee for Medicinal Products for Human Use ("CHMP") is responsible for conducting the initial assessment of a product and for several post-authorization and maintenance activities, such as the assessment of modifications or extensions to an existing marketing authorization. 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clock stops, but it is possible that the CHMP can revert to the standard time limit for the centralized procedure if it considers that it is no longer appropriate to conduct an accelerated assessment.</w:t>
      </w:r>
    </w:p>
    <w:p>
      <w:pPr>
        <w:spacing w:after="0" w:line="210" w:lineRule="exact"/>
        <w:rPr>
          <w:sz w:val="20"/>
          <w:szCs w:val="20"/>
          <w:color w:val="auto"/>
        </w:rPr>
      </w:pPr>
    </w:p>
    <w:p>
      <w:pPr>
        <w:jc w:val="both"/>
        <w:ind w:right="100" w:firstLine="490"/>
        <w:spacing w:after="0" w:line="261" w:lineRule="auto"/>
        <w:rPr>
          <w:sz w:val="20"/>
          <w:szCs w:val="20"/>
          <w:color w:val="auto"/>
        </w:rPr>
      </w:pPr>
      <w:r>
        <w:rPr>
          <w:rFonts w:ascii="Arial" w:cs="Arial" w:eastAsia="Arial" w:hAnsi="Arial"/>
          <w:sz w:val="20"/>
          <w:szCs w:val="20"/>
          <w:i w:val="1"/>
          <w:iCs w:val="1"/>
          <w:color w:val="auto"/>
        </w:rPr>
        <w:t>National authorization procedures</w:t>
      </w:r>
      <w:r>
        <w:rPr>
          <w:rFonts w:ascii="Arial" w:cs="Arial" w:eastAsia="Arial" w:hAnsi="Arial"/>
          <w:sz w:val="20"/>
          <w:szCs w:val="20"/>
          <w:color w:val="auto"/>
        </w:rPr>
        <w:t>. There are also two other possible routes to authorize medicinal</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in several European Union countries, which are available for medicinal products that fall outside the scope of the centralized procedure:</w:t>
      </w:r>
    </w:p>
    <w:p>
      <w:pPr>
        <w:spacing w:after="0" w:line="181" w:lineRule="exact"/>
        <w:rPr>
          <w:sz w:val="20"/>
          <w:szCs w:val="20"/>
          <w:color w:val="auto"/>
        </w:rPr>
      </w:pPr>
    </w:p>
    <w:p>
      <w:pPr>
        <w:ind w:right="280" w:firstLine="490"/>
        <w:spacing w:after="0" w:line="253" w:lineRule="auto"/>
        <w:rPr>
          <w:sz w:val="20"/>
          <w:szCs w:val="20"/>
          <w:color w:val="auto"/>
        </w:rPr>
      </w:pPr>
      <w:r>
        <w:rPr>
          <w:rFonts w:ascii="Arial" w:cs="Arial" w:eastAsia="Arial" w:hAnsi="Arial"/>
          <w:sz w:val="20"/>
          <w:szCs w:val="20"/>
          <w:i w:val="1"/>
          <w:iCs w:val="1"/>
          <w:color w:val="auto"/>
        </w:rPr>
        <w:t>Decentralized procedure</w:t>
      </w:r>
      <w:r>
        <w:rPr>
          <w:rFonts w:ascii="Arial" w:cs="Arial" w:eastAsia="Arial" w:hAnsi="Arial"/>
          <w:sz w:val="20"/>
          <w:szCs w:val="20"/>
          <w:color w:val="auto"/>
        </w:rPr>
        <w:t>. Using the decentralized procedure, an applicant may apply for</w:t>
      </w:r>
      <w:r>
        <w:rPr>
          <w:rFonts w:ascii="Arial" w:cs="Arial" w:eastAsia="Arial" w:hAnsi="Arial"/>
          <w:sz w:val="20"/>
          <w:szCs w:val="20"/>
          <w:i w:val="1"/>
          <w:iCs w:val="1"/>
          <w:color w:val="auto"/>
        </w:rPr>
        <w:t xml:space="preserve"> </w:t>
      </w:r>
      <w:r>
        <w:rPr>
          <w:rFonts w:ascii="Arial" w:cs="Arial" w:eastAsia="Arial" w:hAnsi="Arial"/>
          <w:sz w:val="20"/>
          <w:szCs w:val="20"/>
          <w:color w:val="auto"/>
        </w:rPr>
        <w:t>simultaneous authorization in more than one European Union Member State of medicinal products that have not yet been authorized in any European Union Member State and that do not fall within the mandatory scope of the centralized procedure.</w:t>
      </w:r>
    </w:p>
    <w:p>
      <w:pPr>
        <w:spacing w:after="0" w:line="190"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i w:val="1"/>
          <w:iCs w:val="1"/>
          <w:color w:val="auto"/>
        </w:rPr>
        <w:t>Mutual recognition procedure</w:t>
      </w:r>
      <w:r>
        <w:rPr>
          <w:rFonts w:ascii="Arial" w:cs="Arial" w:eastAsia="Arial" w:hAnsi="Arial"/>
          <w:sz w:val="20"/>
          <w:szCs w:val="20"/>
          <w:color w:val="auto"/>
        </w:rPr>
        <w:t>. In the mutual recognition procedure, a medicine is first authorized in</w:t>
      </w:r>
      <w:r>
        <w:rPr>
          <w:rFonts w:ascii="Arial" w:cs="Arial" w:eastAsia="Arial" w:hAnsi="Arial"/>
          <w:sz w:val="20"/>
          <w:szCs w:val="20"/>
          <w:i w:val="1"/>
          <w:iCs w:val="1"/>
          <w:color w:val="auto"/>
        </w:rPr>
        <w:t xml:space="preserve"> </w:t>
      </w:r>
      <w:r>
        <w:rPr>
          <w:rFonts w:ascii="Arial" w:cs="Arial" w:eastAsia="Arial" w:hAnsi="Arial"/>
          <w:sz w:val="20"/>
          <w:szCs w:val="20"/>
          <w:color w:val="auto"/>
        </w:rPr>
        <w:t>one European Union Member State, in accordance with the national procedures of that Member State. Following this, further marketing authorizations can be sought from other European Union Member States in a procedure whereby the Member State concerned agree to recognize the validity of the original, national marketing authorization.</w:t>
      </w:r>
    </w:p>
    <w:p>
      <w:pPr>
        <w:spacing w:after="0" w:line="192" w:lineRule="exact"/>
        <w:rPr>
          <w:sz w:val="20"/>
          <w:szCs w:val="20"/>
          <w:color w:val="auto"/>
        </w:rPr>
      </w:pPr>
    </w:p>
    <w:p>
      <w:pPr>
        <w:ind w:right="20" w:firstLine="490"/>
        <w:spacing w:after="0" w:line="253" w:lineRule="auto"/>
        <w:rPr>
          <w:sz w:val="20"/>
          <w:szCs w:val="20"/>
          <w:color w:val="auto"/>
        </w:rPr>
      </w:pPr>
      <w:r>
        <w:rPr>
          <w:rFonts w:ascii="Arial" w:cs="Arial" w:eastAsia="Arial" w:hAnsi="Arial"/>
          <w:sz w:val="20"/>
          <w:szCs w:val="20"/>
          <w:color w:val="auto"/>
        </w:rPr>
        <w:t>Companies applying for a marketing authorization in the Europea Union must also agree upon a pediatric investigation plan (“PIP”) with the EMA’s Pediatric Committee and must conduct pediatric clinical trials in accordance with that PIP unless the EMA has granted a product-specific waiver, a class waiver, or a deferral for one or more of the measures included in the PIP.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9360"/>
          </w:cols>
          <w:pgMar w:left="1440" w:top="996" w:right="1440" w:bottom="161" w:gutter="0" w:footer="0" w:header="0"/>
        </w:sectPr>
      </w:pPr>
    </w:p>
    <w:bookmarkStart w:id="32" w:name="page33"/>
    <w:bookmarkEnd w:id="32"/>
    <w:p>
      <w:pPr>
        <w:spacing w:after="0"/>
        <w:rPr>
          <w:sz w:val="20"/>
          <w:szCs w:val="20"/>
          <w:color w:val="auto"/>
        </w:rPr>
      </w:pPr>
      <w:r>
        <w:rPr>
          <w:rFonts w:ascii="Arial" w:cs="Arial" w:eastAsia="Arial" w:hAnsi="Arial"/>
          <w:sz w:val="20"/>
          <w:szCs w:val="20"/>
          <w:i w:val="1"/>
          <w:iCs w:val="1"/>
          <w:color w:val="auto"/>
        </w:rPr>
        <w:t>Data and Market Exclusivity in the European Union</w:t>
      </w:r>
    </w:p>
    <w:p>
      <w:pPr>
        <w:spacing w:after="0" w:line="232"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In the European Union, innovative medicinal products approved on the basis of a complete and independent data package qualify for eight years of data exclusivity upon marketing authorization and an additional two years of market exclusivity. This data exclusivity, if granted, prevents regulatory authorities in the European Union from referencing the innovator’s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 During an additional two-year period of market exclusivity, a generic or biosimilar marketing authorization application can be submitted and authorized, and the innovator’s data may be referenced, but no generic or biosimilar medicinal product can be placed on the European Union market until the expiration of the market exclusivity. The overall ten- 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 marketing authorization application with a complete and independent data package of pharmaceutical tests, preclinical tests and clinical trials.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All of the aforementioned European Union rules are generally applicable in the EEA.</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Reform of the Regulatory Framework in the European Union</w:t>
      </w:r>
    </w:p>
    <w:p>
      <w:pPr>
        <w:spacing w:after="0" w:line="232"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The European Commission introduced legislative proposals in April 2023 that, if implemented, will replace the current regulatory framework in the European Union for all medicines (including those for rare diseases and for children) .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Pharmaceutical Coverage, Pricing and Reimbursement</w:t>
      </w:r>
    </w:p>
    <w:p>
      <w:pPr>
        <w:spacing w:after="0" w:line="236"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Significant uncertainty exists as to the coverage and reimbursement status of any products for which we may obtain regulatory approval. In the United States and markets in other countries, sales of any products for which we may receive regulatory approval for commercial sale will depend in part on the availability of coverage and reimbursement for our products from third-party payors, such as government healthcare programs (e.g., Medicare, Medicaid), managed care providers,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most patients to be able to afford treatments such as antibody-based therapies.</w:t>
      </w:r>
    </w:p>
    <w:p>
      <w:pPr>
        <w:spacing w:after="0" w:line="196" w:lineRule="exact"/>
        <w:rPr>
          <w:sz w:val="20"/>
          <w:szCs w:val="20"/>
          <w:color w:val="auto"/>
        </w:rPr>
      </w:pPr>
    </w:p>
    <w:p>
      <w:pPr>
        <w:ind w:right="200" w:firstLine="490"/>
        <w:spacing w:after="0" w:line="251" w:lineRule="auto"/>
        <w:rPr>
          <w:sz w:val="20"/>
          <w:szCs w:val="20"/>
          <w:color w:val="auto"/>
        </w:rPr>
      </w:pPr>
      <w:r>
        <w:rPr>
          <w:rFonts w:ascii="Arial" w:cs="Arial" w:eastAsia="Arial" w:hAnsi="Arial"/>
          <w:sz w:val="20"/>
          <w:szCs w:val="20"/>
          <w:color w:val="auto"/>
        </w:rPr>
        <w:t>In the United States, the principal decisions about reimbursement for new medicines are typically made by the Centers for Medicare &amp; Medicaid Services ("CMS"), an agency within the U.S. Department of Health and Human Services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82" w:lineRule="exact"/>
        <w:rPr>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covered benefit under its health plan;</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safe, effective and medically necessary;</w:t>
      </w:r>
    </w:p>
    <w:p>
      <w:pPr>
        <w:spacing w:after="0" w:line="134"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appropriate for the specific patient;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9360"/>
          </w:cols>
          <w:pgMar w:left="1440" w:top="996" w:right="1440" w:bottom="161" w:gutter="0" w:footer="0" w:header="0"/>
        </w:sectPr>
      </w:pPr>
    </w:p>
    <w:bookmarkStart w:id="33" w:name="page34"/>
    <w:bookmarkEnd w:id="33"/>
    <w:p>
      <w:pPr>
        <w:ind w:left="980" w:hanging="490"/>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cost-effective; and</w:t>
      </w:r>
    </w:p>
    <w:p>
      <w:pPr>
        <w:spacing w:after="0" w:line="132"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neither experimental nor investigational.</w:t>
      </w:r>
    </w:p>
    <w:p>
      <w:pPr>
        <w:spacing w:after="0" w:line="243" w:lineRule="exact"/>
        <w:rPr>
          <w:sz w:val="20"/>
          <w:szCs w:val="20"/>
          <w:color w:val="auto"/>
        </w:rPr>
      </w:pPr>
    </w:p>
    <w:p>
      <w:pPr>
        <w:jc w:val="both"/>
        <w:ind w:right="100" w:firstLine="490"/>
        <w:spacing w:after="0" w:line="259" w:lineRule="auto"/>
        <w:rPr>
          <w:sz w:val="20"/>
          <w:szCs w:val="20"/>
          <w:color w:val="auto"/>
        </w:rPr>
      </w:pPr>
      <w:r>
        <w:rPr>
          <w:rFonts w:ascii="Arial" w:cs="Arial" w:eastAsia="Arial" w:hAnsi="Arial"/>
          <w:sz w:val="19"/>
          <w:szCs w:val="19"/>
          <w:color w:val="auto"/>
        </w:rPr>
        <w:t>Our ability to successfully commercialize our product candidates will depend in part on the extent to which coverage and adequate reimbursement for these products and related treatments will be available from third-party payors, including government healthcare programs (e.g., Medicare, Medicaid), managed care providers, private health insurers, health maintenance organizations, and other organizations.</w:t>
      </w:r>
    </w:p>
    <w:p>
      <w:pPr>
        <w:spacing w:after="0" w:line="2"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color w:val="auto"/>
        </w:rPr>
        <w:t>Moreover, a payor’s decision to provide coverage for a drug product does not imply that an adequate reimbursement rate will be approved.</w:t>
      </w:r>
    </w:p>
    <w:p>
      <w:pPr>
        <w:spacing w:after="0" w:line="186" w:lineRule="exact"/>
        <w:rPr>
          <w:sz w:val="20"/>
          <w:szCs w:val="20"/>
          <w:color w:val="auto"/>
        </w:rPr>
      </w:pPr>
    </w:p>
    <w:p>
      <w:pPr>
        <w:ind w:right="120" w:firstLine="490"/>
        <w:spacing w:after="0" w:line="245" w:lineRule="auto"/>
        <w:rPr>
          <w:sz w:val="20"/>
          <w:szCs w:val="20"/>
          <w:color w:val="auto"/>
        </w:rPr>
      </w:pPr>
      <w:r>
        <w:rPr>
          <w:rFonts w:ascii="Arial" w:cs="Arial" w:eastAsia="Arial" w:hAnsi="Arial"/>
          <w:sz w:val="20"/>
          <w:szCs w:val="20"/>
          <w:color w:val="auto"/>
        </w:rPr>
        <w:t>No uniform policy of coverage and reimbursement for drug products exists among third-party payors. Therefore, coverage and reimbursement for drug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and the level of coverage and reimbursement can differ significantly from payor to payor. Third-party payors may also limit coverage to specific products on an approved list, or formulary, which might not include all of the FDA-approved products for a particular indication.</w:t>
      </w:r>
    </w:p>
    <w:p>
      <w:pPr>
        <w:spacing w:after="0" w:line="196"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Further, third-party payors are increasingly challenging the price and examining the medical necessity and cost- 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utilization once the product is approved and have a material adverse effect on sales, our operations and financial condition.</w:t>
      </w:r>
    </w:p>
    <w:p>
      <w:pPr>
        <w:spacing w:after="0" w:line="204" w:lineRule="exact"/>
        <w:rPr>
          <w:sz w:val="20"/>
          <w:szCs w:val="20"/>
          <w:color w:val="auto"/>
        </w:rPr>
      </w:pPr>
    </w:p>
    <w:p>
      <w:pPr>
        <w:ind w:right="80" w:firstLine="490"/>
        <w:spacing w:after="0" w:line="242" w:lineRule="auto"/>
        <w:rPr>
          <w:sz w:val="20"/>
          <w:szCs w:val="20"/>
          <w:color w:val="auto"/>
        </w:rPr>
      </w:pPr>
      <w:r>
        <w:rPr>
          <w:rFonts w:ascii="Arial" w:cs="Arial" w:eastAsia="Arial" w:hAnsi="Arial"/>
          <w:sz w:val="20"/>
          <w:szCs w:val="20"/>
          <w:color w:val="auto"/>
        </w:rPr>
        <w:t>In some foreign countries, the proposed pricing for a drug must be approved before it may be lawfully marketed. The requirements governing drug pricing vary widely from country to country. For example,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European Union Member State may approve a specific price for the medicinal product or it may instead adopt a system of direct or indirect controls on the profitability of the company placing the medicinal product on the market. Approaches between European Union Member States are diverging. For example, in France, effective market access will be supported by agreements with hospitals and products may be reimbursed by the Social Security Fund. The price of medicines is negotiated with the Economic Committee for Health Products ("CEPS").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and future healthcare reform legislation</w:t>
      </w:r>
    </w:p>
    <w:p>
      <w:pPr>
        <w:spacing w:after="0" w:line="236" w:lineRule="exact"/>
        <w:rPr>
          <w:sz w:val="20"/>
          <w:szCs w:val="20"/>
          <w:color w:val="auto"/>
        </w:rPr>
      </w:pPr>
    </w:p>
    <w:p>
      <w:pPr>
        <w:ind w:right="240" w:firstLine="490"/>
        <w:spacing w:after="0" w:line="266" w:lineRule="auto"/>
        <w:rPr>
          <w:sz w:val="20"/>
          <w:szCs w:val="20"/>
          <w:color w:val="auto"/>
        </w:rPr>
      </w:pPr>
      <w:r>
        <w:rPr>
          <w:rFonts w:ascii="Arial" w:cs="Arial" w:eastAsia="Arial" w:hAnsi="Arial"/>
          <w:sz w:val="19"/>
          <w:szCs w:val="19"/>
          <w:color w:val="auto"/>
        </w:rPr>
        <w:t>In the United States and in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the Patient Protection and Affordable Care Act, as amended by the Health Care and Education Reconciliation Act, collectively, the Affordable Care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9360"/>
          </w:cols>
          <w:pgMar w:left="1440" w:top="1000" w:right="1440" w:bottom="161" w:gutter="0" w:footer="0" w:header="0"/>
        </w:sectPr>
      </w:pPr>
    </w:p>
    <w:bookmarkStart w:id="34" w:name="page35"/>
    <w:bookmarkEnd w:id="34"/>
    <w:p>
      <w:pPr>
        <w:ind w:right="20"/>
        <w:spacing w:after="0" w:line="245" w:lineRule="auto"/>
        <w:rPr>
          <w:sz w:val="20"/>
          <w:szCs w:val="20"/>
          <w:color w:val="auto"/>
        </w:rPr>
      </w:pPr>
      <w:r>
        <w:rPr>
          <w:rFonts w:ascii="Arial" w:cs="Arial" w:eastAsia="Arial" w:hAnsi="Arial"/>
          <w:sz w:val="20"/>
          <w:szCs w:val="20"/>
          <w:color w:val="auto"/>
        </w:rPr>
        <w:t>Act ("ACA"), among other things, subjects biological products to potential competition by lower-cost biosimilars, expands the types of entities eligible for the 340B drug discount program, increases rebates for drugs sold to Medicaid programs owed by manufacturers under the Medicaid Drug Rebate Program and extends the rebate program to individuals enrolled in Medicaid managed care organizations, establishes annual fees and taxes on manufacturers of certain branded prescription drugs, and created a mandatory discount program for certain Medicare Part D beneficiaries in which manufacturers must agree 70% point-of-sale discounts off negotiated prices of applicable brand drugs to eligible beneficiaries during their coverage gap period, as a condition for the manufacturer’s outpatient drugs to be covered under Medicare Part D.</w:t>
      </w:r>
    </w:p>
    <w:p>
      <w:pPr>
        <w:spacing w:after="0" w:line="19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In addition, other legislative and regulatory changes have been proposed and adopted in the United States since the ACA was enacted:</w:t>
      </w:r>
    </w:p>
    <w:p>
      <w:pPr>
        <w:spacing w:after="0" w:line="283" w:lineRule="exact"/>
        <w:rPr>
          <w:sz w:val="20"/>
          <w:szCs w:val="20"/>
          <w:color w:val="auto"/>
        </w:rPr>
      </w:pPr>
    </w:p>
    <w:p>
      <w:pPr>
        <w:ind w:left="980" w:right="560" w:hanging="491"/>
        <w:spacing w:after="0" w:line="261"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August 2, 2011, the U.S. Budget Control Act of 2011, among other things, included aggregate reductions of Medicare payments to providers of 2% per fiscal year, which will remain in effect through 2031.</w:t>
      </w:r>
    </w:p>
    <w:p>
      <w:pPr>
        <w:spacing w:after="0" w:line="72" w:lineRule="exact"/>
        <w:rPr>
          <w:rFonts w:ascii="Arial" w:cs="Arial" w:eastAsia="Arial" w:hAnsi="Arial"/>
          <w:sz w:val="20"/>
          <w:szCs w:val="20"/>
          <w:color w:val="auto"/>
        </w:rPr>
      </w:pPr>
    </w:p>
    <w:p>
      <w:pPr>
        <w:ind w:left="980" w:right="140" w:hanging="491"/>
        <w:spacing w:after="0" w:line="254"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January 2, 2013, the U.S.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80" w:lineRule="exact"/>
        <w:rPr>
          <w:rFonts w:ascii="Arial" w:cs="Arial" w:eastAsia="Arial" w:hAnsi="Arial"/>
          <w:sz w:val="20"/>
          <w:szCs w:val="20"/>
          <w:color w:val="auto"/>
        </w:rPr>
      </w:pPr>
    </w:p>
    <w:p>
      <w:pPr>
        <w:ind w:left="980" w:right="200" w:hanging="491"/>
        <w:spacing w:after="0" w:line="254"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0" w:lineRule="exact"/>
        <w:rPr>
          <w:rFonts w:ascii="Arial" w:cs="Arial" w:eastAsia="Arial" w:hAnsi="Arial"/>
          <w:sz w:val="20"/>
          <w:szCs w:val="20"/>
          <w:color w:val="auto"/>
        </w:rPr>
      </w:pPr>
    </w:p>
    <w:p>
      <w:pPr>
        <w:ind w:left="980" w:right="20" w:hanging="490"/>
        <w:spacing w:after="0" w:line="281" w:lineRule="auto"/>
        <w:tabs>
          <w:tab w:leader="none" w:pos="980" w:val="left"/>
        </w:tabs>
        <w:numPr>
          <w:ilvl w:val="0"/>
          <w:numId w:val="11"/>
        </w:numPr>
        <w:rPr>
          <w:rFonts w:ascii="Arial" w:cs="Arial" w:eastAsia="Arial" w:hAnsi="Arial"/>
          <w:sz w:val="19"/>
          <w:szCs w:val="19"/>
          <w:color w:val="auto"/>
        </w:rPr>
      </w:pPr>
      <w:r>
        <w:rPr>
          <w:rFonts w:ascii="PMingLiU" w:cs="PMingLiU" w:eastAsia="PMingLiU" w:hAnsi="PMingLiU"/>
          <w:sz w:val="19"/>
          <w:szCs w:val="19"/>
          <w:color w:val="auto"/>
        </w:rPr>
        <w:t xml:space="preserve">2Q 0D\&amp;06SXEOLVKHGDILQDOUXOHWRDOORZ0HGLFDUH$GYDQWDJH3ODQVWKHRSWLRQRI </w:t>
      </w:r>
      <w:r>
        <w:rPr>
          <w:rFonts w:ascii="Arial" w:cs="Arial" w:eastAsia="Arial" w:hAnsi="Arial"/>
          <w:sz w:val="19"/>
          <w:szCs w:val="19"/>
          <w:color w:val="auto"/>
        </w:rPr>
        <w:t>using step therapy for Part B drugs beginning January 1, 2020.</w:t>
      </w:r>
    </w:p>
    <w:p>
      <w:pPr>
        <w:spacing w:after="0" w:line="53" w:lineRule="exact"/>
        <w:rPr>
          <w:rFonts w:ascii="Arial" w:cs="Arial" w:eastAsia="Arial" w:hAnsi="Arial"/>
          <w:sz w:val="19"/>
          <w:szCs w:val="19"/>
          <w:color w:val="auto"/>
        </w:rPr>
      </w:pPr>
    </w:p>
    <w:p>
      <w:pPr>
        <w:ind w:left="980" w:right="100" w:hanging="490"/>
        <w:spacing w:after="0" w:line="247"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March 11, 2021,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4"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 products. For example, at the federal level, President Trump reversed some of President Biden’s executive orders including rescinding Executive Order 14087 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84" w:lineRule="exact"/>
        <w:rPr>
          <w:sz w:val="20"/>
          <w:szCs w:val="20"/>
          <w:color w:val="auto"/>
        </w:rPr>
      </w:pPr>
    </w:p>
    <w:p>
      <w:pPr>
        <w:ind w:right="20" w:firstLine="490"/>
        <w:spacing w:after="0" w:line="272" w:lineRule="auto"/>
        <w:rPr>
          <w:sz w:val="20"/>
          <w:szCs w:val="20"/>
          <w:color w:val="auto"/>
        </w:rPr>
      </w:pPr>
      <w:r>
        <w:rPr>
          <w:rFonts w:ascii="Arial" w:cs="Arial" w:eastAsia="Arial" w:hAnsi="Arial"/>
          <w:sz w:val="18"/>
          <w:szCs w:val="18"/>
          <w:color w:val="auto"/>
        </w:rPr>
        <w:t xml:space="preserve">In August 2022, the IRA was signed into law. The IRA includes several provisions that will impact our business to varying degrees, including provisions that create a $2,000 out- 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w:t>
      </w:r>
      <w:r>
        <w:rPr>
          <w:rFonts w:ascii="PMingLiU" w:cs="PMingLiU" w:eastAsia="PMingLiU" w:hAnsi="PMingLiU"/>
          <w:sz w:val="18"/>
          <w:szCs w:val="18"/>
          <w:color w:val="auto"/>
        </w:rPr>
        <w:t xml:space="preserve">RQO\DSSURYHGLQGLFDWLRQLVIRUWKDWGLVHDVHRUFRQGLWLRQ  </w:t>
      </w:r>
      <w:r>
        <w:rPr>
          <w:rFonts w:ascii="Arial" w:cs="Arial" w:eastAsia="Arial" w:hAnsi="Arial"/>
          <w:sz w:val="18"/>
          <w:szCs w:val="18"/>
          <w:color w:val="auto"/>
        </w:rPr>
        <w:t>Under the One Big Beautiful Bill Act of 2025, this</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9360"/>
          </w:cols>
          <w:pgMar w:left="1440" w:top="988" w:right="1440" w:bottom="161" w:gutter="0" w:footer="0" w:header="0"/>
        </w:sectPr>
      </w:pPr>
    </w:p>
    <w:bookmarkStart w:id="35" w:name="page36"/>
    <w:bookmarkEnd w:id="35"/>
    <w:p>
      <w:pPr>
        <w:ind w:right="140"/>
        <w:spacing w:after="0" w:line="250" w:lineRule="auto"/>
        <w:rPr>
          <w:sz w:val="20"/>
          <w:szCs w:val="20"/>
          <w:color w:val="auto"/>
        </w:rPr>
      </w:pPr>
      <w:r>
        <w:rPr>
          <w:rFonts w:ascii="Arial" w:cs="Arial" w:eastAsia="Arial" w:hAnsi="Arial"/>
          <w:sz w:val="20"/>
          <w:szCs w:val="20"/>
          <w:color w:val="auto"/>
        </w:rPr>
        <w:t>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The effect of IRA on our business and the healthcare industry in general is not yet known.</w:t>
      </w:r>
    </w:p>
    <w:p>
      <w:pPr>
        <w:spacing w:after="0" w:line="183" w:lineRule="exact"/>
        <w:rPr>
          <w:sz w:val="20"/>
          <w:szCs w:val="20"/>
          <w:color w:val="auto"/>
        </w:rPr>
      </w:pPr>
    </w:p>
    <w:p>
      <w:pPr>
        <w:ind w:right="20" w:firstLine="490"/>
        <w:spacing w:after="0" w:line="241" w:lineRule="auto"/>
        <w:rPr>
          <w:sz w:val="20"/>
          <w:szCs w:val="20"/>
          <w:color w:val="auto"/>
        </w:rPr>
      </w:pPr>
      <w:r>
        <w:rPr>
          <w:rFonts w:ascii="Arial" w:cs="Arial" w:eastAsia="Arial" w:hAnsi="Arial"/>
          <w:sz w:val="20"/>
          <w:szCs w:val="20"/>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 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w:t>
      </w:r>
    </w:p>
    <w:p>
      <w:pPr>
        <w:spacing w:after="0" w:line="11" w:lineRule="exact"/>
        <w:rPr>
          <w:sz w:val="20"/>
          <w:szCs w:val="20"/>
          <w:color w:val="auto"/>
        </w:rPr>
      </w:pPr>
    </w:p>
    <w:p>
      <w:pPr>
        <w:ind w:right="700"/>
        <w:spacing w:after="0" w:line="244" w:lineRule="auto"/>
        <w:rPr>
          <w:sz w:val="20"/>
          <w:szCs w:val="20"/>
          <w:color w:val="auto"/>
        </w:rPr>
      </w:pPr>
      <w:r>
        <w:rPr>
          <w:rFonts w:ascii="Arial" w:cs="Arial" w:eastAsia="Arial" w:hAnsi="Arial"/>
          <w:sz w:val="20"/>
          <w:szCs w:val="20"/>
          <w:color w:val="auto"/>
        </w:rPr>
        <w:t>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89"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88" w:lineRule="exact"/>
        <w:rPr>
          <w:sz w:val="20"/>
          <w:szCs w:val="20"/>
          <w:color w:val="auto"/>
        </w:rPr>
      </w:pPr>
    </w:p>
    <w:p>
      <w:pPr>
        <w:ind w:right="160" w:firstLine="490"/>
        <w:spacing w:after="0" w:line="244" w:lineRule="auto"/>
        <w:rPr>
          <w:sz w:val="20"/>
          <w:szCs w:val="20"/>
          <w:color w:val="auto"/>
        </w:rPr>
      </w:pPr>
      <w:r>
        <w:rPr>
          <w:rFonts w:ascii="Arial" w:cs="Arial" w:eastAsia="Arial" w:hAnsi="Arial"/>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 and Compliance Requirements</w:t>
      </w:r>
    </w:p>
    <w:p>
      <w:pPr>
        <w:spacing w:after="0" w:line="234" w:lineRule="exact"/>
        <w:rPr>
          <w:sz w:val="20"/>
          <w:szCs w:val="20"/>
          <w:color w:val="auto"/>
        </w:rPr>
      </w:pPr>
    </w:p>
    <w:p>
      <w:pPr>
        <w:ind w:right="160" w:firstLine="490"/>
        <w:spacing w:after="0" w:line="281" w:lineRule="auto"/>
        <w:rPr>
          <w:sz w:val="20"/>
          <w:szCs w:val="20"/>
          <w:color w:val="auto"/>
        </w:rPr>
      </w:pPr>
      <w:r>
        <w:rPr>
          <w:rFonts w:ascii="Arial" w:cs="Arial" w:eastAsia="Arial" w:hAnsi="Arial"/>
          <w:sz w:val="19"/>
          <w:szCs w:val="19"/>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9360"/>
          </w:cols>
          <w:pgMar w:left="1440" w:top="988" w:right="1440" w:bottom="161" w:gutter="0" w:footer="0" w:header="0"/>
        </w:sectPr>
      </w:pPr>
    </w:p>
    <w:bookmarkStart w:id="36" w:name="page37"/>
    <w:bookmarkEnd w:id="36"/>
    <w:p>
      <w:pPr>
        <w:ind w:right="20"/>
        <w:spacing w:after="0" w:line="253" w:lineRule="auto"/>
        <w:rPr>
          <w:sz w:val="20"/>
          <w:szCs w:val="20"/>
          <w:color w:val="auto"/>
        </w:rPr>
      </w:pPr>
      <w:r>
        <w:rPr>
          <w:rFonts w:ascii="Arial" w:cs="Arial" w:eastAsia="Arial" w:hAnsi="Arial"/>
          <w:sz w:val="20"/>
          <w:szCs w:val="20"/>
          <w:color w:val="auto"/>
        </w:rPr>
        <w:t>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among others:</w:t>
      </w:r>
    </w:p>
    <w:p>
      <w:pPr>
        <w:spacing w:after="0" w:line="82" w:lineRule="exact"/>
        <w:rPr>
          <w:sz w:val="20"/>
          <w:szCs w:val="20"/>
          <w:color w:val="auto"/>
        </w:rPr>
      </w:pPr>
    </w:p>
    <w:p>
      <w:pPr>
        <w:ind w:left="980" w:right="60" w:hanging="491"/>
        <w:spacing w:after="0" w:line="243"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federal Anti-Kickback Statute, which prohibits, among other things, persons and entities from knowingly and willfully soliciting, receiving, offering or paying remuneration (including any kickback, bribe, or certain rebates), directly or indirectly, overtly or covertly, in cash or in kind, to induce or reward, or in return for, either the referral of an individual for, or for the purchase, lease, order or recommendation of, or arranging for, an item, good, facility or service for which payment may be made under a federal healthcare program such as Medicare and Medicaid. The term remuneration has been interpreted broadly to include anything of value. The federal Anti-Kickback Statute has been interpreted to apply to arrangements between manufacturers on one hand and prescribers, purchasers, and formulary managers on the other. A person or entity need not have actual knowledge of the federal Anti-Kickback Statute or specific intent to violate it in order to have committed a violation. Violations are subject to significant civil and criminal fines and penalties for each violation, plus up to three times the remuneration involved, imprisonment, and exclusion from government healthcare programs. In addition, a violation of the federal Anti-Kickback Statute constitutes a false or fraudulent claim for purposes of the civil False Claims Act ("FCA");</w:t>
      </w:r>
    </w:p>
    <w:p>
      <w:pPr>
        <w:spacing w:after="0" w:line="91" w:lineRule="exact"/>
        <w:rPr>
          <w:rFonts w:ascii="Arial" w:cs="Arial" w:eastAsia="Arial" w:hAnsi="Arial"/>
          <w:sz w:val="20"/>
          <w:szCs w:val="20"/>
          <w:color w:val="auto"/>
        </w:rPr>
      </w:pPr>
    </w:p>
    <w:p>
      <w:pPr>
        <w:ind w:left="980" w:right="20" w:hanging="491"/>
        <w:spacing w:after="0" w:line="243"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federal civil and criminal false claims laws, including the FCA, and civil monetary penalty laws, which prohibit, among other things, individuals or entities from knowingly presenting, or causing to be presented, claims for payment or approval from Medicare, Medicaid, or other third-party payors,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91" w:lineRule="exact"/>
        <w:rPr>
          <w:rFonts w:ascii="Arial" w:cs="Arial" w:eastAsia="Arial" w:hAnsi="Arial"/>
          <w:sz w:val="20"/>
          <w:szCs w:val="20"/>
          <w:color w:val="auto"/>
        </w:rPr>
      </w:pPr>
    </w:p>
    <w:p>
      <w:pPr>
        <w:ind w:left="980" w:right="40" w:hanging="491"/>
        <w:spacing w:after="0" w:line="244"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federal Health Insurance Portability and Accountability Act of 1996 ("HIPAA"), which created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6" w:lineRule="exact"/>
        <w:rPr>
          <w:rFonts w:ascii="Arial" w:cs="Arial" w:eastAsia="Arial" w:hAnsi="Arial"/>
          <w:sz w:val="20"/>
          <w:szCs w:val="20"/>
          <w:color w:val="auto"/>
        </w:rPr>
      </w:pPr>
    </w:p>
    <w:p>
      <w:pPr>
        <w:ind w:left="980" w:right="320" w:hanging="491"/>
        <w:spacing w:after="0" w:line="246"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federal Physician Payment Sunshine Act, created under the ACA and its implementing regulations, which requires drug, device, medical supply, and biologics manufacturers to disclose payments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other licensed healthcare practitioners and teaching hospitals, as well as ownership and investment interests held by physicians and their immediate family members;</w:t>
      </w:r>
    </w:p>
    <w:p>
      <w:pPr>
        <w:spacing w:after="0" w:line="87" w:lineRule="exact"/>
        <w:rPr>
          <w:rFonts w:ascii="Arial" w:cs="Arial" w:eastAsia="Arial" w:hAnsi="Arial"/>
          <w:sz w:val="20"/>
          <w:szCs w:val="20"/>
          <w:color w:val="auto"/>
        </w:rPr>
      </w:pPr>
    </w:p>
    <w:p>
      <w:pPr>
        <w:ind w:left="980" w:right="20" w:hanging="491"/>
        <w:spacing w:after="0" w:line="254"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and Clinical Health Act of 2009 ("HITECH"), and its implementing regulations, which imposes, among other things, certain requirements relating to the privacy, security and transmission of individually identifiable health information. Among other things, HITECH makes HIPAA’s privacy and security standards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9360"/>
          </w:cols>
          <w:pgMar w:left="1440" w:top="988" w:right="1440" w:bottom="161" w:gutter="0" w:footer="0" w:header="0"/>
        </w:sectPr>
      </w:pPr>
    </w:p>
    <w:bookmarkStart w:id="37" w:name="page38"/>
    <w:bookmarkEnd w:id="37"/>
    <w:p>
      <w:pPr>
        <w:ind w:left="980" w:right="40"/>
        <w:spacing w:after="0" w:line="247" w:lineRule="auto"/>
        <w:rPr>
          <w:sz w:val="20"/>
          <w:szCs w:val="20"/>
          <w:color w:val="auto"/>
        </w:rPr>
      </w:pPr>
      <w:r>
        <w:rPr>
          <w:rFonts w:ascii="Arial" w:cs="Arial" w:eastAsia="Arial" w:hAnsi="Arial"/>
          <w:sz w:val="20"/>
          <w:szCs w:val="20"/>
          <w:color w:val="auto"/>
        </w:rPr>
        <w:t>directly applicable to “business associates,” those independent contractors or agents of covered entities that create, receive, maintain, transmit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86" w:lineRule="exact"/>
        <w:rPr>
          <w:sz w:val="20"/>
          <w:szCs w:val="20"/>
          <w:color w:val="auto"/>
        </w:rPr>
      </w:pPr>
    </w:p>
    <w:p>
      <w:pPr>
        <w:ind w:left="980" w:right="460" w:hanging="491"/>
        <w:spacing w:after="0" w:line="282"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federal government price reporting laws, which require us to calculate and report complex pricing metrics in an accurate and timely manner to government programs; and</w:t>
      </w:r>
    </w:p>
    <w:p>
      <w:pPr>
        <w:spacing w:after="0" w:line="52" w:lineRule="exact"/>
        <w:rPr>
          <w:rFonts w:ascii="Arial" w:cs="Arial" w:eastAsia="Arial" w:hAnsi="Arial"/>
          <w:sz w:val="20"/>
          <w:szCs w:val="20"/>
          <w:color w:val="auto"/>
        </w:rPr>
      </w:pPr>
    </w:p>
    <w:p>
      <w:pPr>
        <w:ind w:left="980" w:right="60" w:hanging="491"/>
        <w:spacing w:after="0" w:line="242"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analogous state and foreign law equivalents of each of the above U.S. federal laws, such as anti- 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of sales representatives; state laws that require biopharmaceutical companies to comply with the biopharmaceutical industry’s voluntary compliance guidelines and the relevant compliance guidance promulgated by the federal government; state and local laws that require the registration of pharmaceutical sales representatives; data privacy and security laws and regulations in foreign jurisdictions that may be more stringent than those in the United States (such as the European Union, which adopted the General Data Protection Regulation, which became effective in May 2018);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11"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 laws described above or any other governmental regulations that apply to us, we may be subject to administrative, civil, and criminal penalties, exclusion from participation in government healthcare programs, such as Medicare and Medicaid, imprisonment, damages, fines, disgorgement, reputational harm, the curtailment or restructuring of our operations, and additional oversight and reporting obligations if we become subject to a corporate integrity agreement or similar settlement to resolve allegations of non-compliance with these laws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and can divert a company’s attention from its business.</w:t>
      </w:r>
    </w:p>
    <w:p>
      <w:pPr>
        <w:spacing w:after="0" w:line="203" w:lineRule="exact"/>
        <w:rPr>
          <w:sz w:val="20"/>
          <w:szCs w:val="20"/>
          <w:color w:val="auto"/>
        </w:rPr>
      </w:pPr>
    </w:p>
    <w:p>
      <w:pPr>
        <w:ind w:right="140" w:firstLine="490"/>
        <w:spacing w:after="0" w:line="247" w:lineRule="auto"/>
        <w:rPr>
          <w:sz w:val="20"/>
          <w:szCs w:val="20"/>
          <w:color w:val="auto"/>
        </w:rPr>
      </w:pPr>
      <w:r>
        <w:rPr>
          <w:rFonts w:ascii="Arial" w:cs="Arial" w:eastAsia="Arial" w:hAnsi="Arial"/>
          <w:sz w:val="20"/>
          <w:szCs w:val="20"/>
          <w:color w:val="auto"/>
        </w:rPr>
        <w:t>We are also subject to the U.S. Foreign Corrupt Practices Act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9360"/>
          </w:cols>
          <w:pgMar w:left="1440" w:top="988" w:right="1440" w:bottom="161"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Employees and Human Capital</w:t>
      </w:r>
    </w:p>
    <w:p>
      <w:pPr>
        <w:spacing w:after="0" w:line="244" w:lineRule="exact"/>
        <w:rPr>
          <w:sz w:val="20"/>
          <w:szCs w:val="20"/>
          <w:color w:val="auto"/>
        </w:rPr>
      </w:pPr>
    </w:p>
    <w:p>
      <w:pPr>
        <w:ind w:right="240" w:firstLine="490"/>
        <w:spacing w:after="0" w:line="253" w:lineRule="auto"/>
        <w:rPr>
          <w:sz w:val="20"/>
          <w:szCs w:val="20"/>
          <w:color w:val="auto"/>
        </w:rPr>
      </w:pPr>
      <w:r>
        <w:rPr>
          <w:rFonts w:ascii="Arial" w:cs="Arial" w:eastAsia="Arial" w:hAnsi="Arial"/>
          <w:sz w:val="20"/>
          <w:szCs w:val="20"/>
          <w:color w:val="auto"/>
        </w:rPr>
        <w:t>As of December 31, 2025, we had 39 employees, 25 of which were primarily engaged in research and development and clinical activities. None of our employees are represented by labor unions or covered by collective bargaining agreements. We consider our relationship with our employees to be good.</w:t>
      </w:r>
    </w:p>
    <w:p>
      <w:pPr>
        <w:spacing w:after="0" w:line="190"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 -based and cash-based compensation awards, in order to increase shareholder value and the success of our company by motivating such individuals to perform to the best of their abilities and achieve our objectives.</w:t>
      </w:r>
    </w:p>
    <w:p>
      <w:pPr>
        <w:spacing w:after="0" w:line="194" w:lineRule="exact"/>
        <w:rPr>
          <w:sz w:val="20"/>
          <w:szCs w:val="20"/>
          <w:color w:val="auto"/>
        </w:rPr>
      </w:pPr>
    </w:p>
    <w:p>
      <w:pPr>
        <w:ind w:right="180" w:firstLine="490"/>
        <w:spacing w:after="0" w:line="250" w:lineRule="auto"/>
        <w:rPr>
          <w:sz w:val="20"/>
          <w:szCs w:val="20"/>
          <w:color w:val="auto"/>
        </w:rPr>
      </w:pPr>
      <w:r>
        <w:rPr>
          <w:rFonts w:ascii="Arial" w:cs="Arial" w:eastAsia="Arial" w:hAnsi="Arial"/>
          <w:sz w:val="20"/>
          <w:szCs w:val="20"/>
          <w:color w:val="auto"/>
        </w:rPr>
        <w:t>As a company operating in a competitive industry, much of our success is rooted in the diversity of our teams and our commitment to inclusion. We value diversity at all levels and continue to focus on extending our diversity and inclusion initiatives across our entire workforce, from working with managers to develop strategies for building diverse teams to promoting the advancement of leaders from different backgrounds.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44"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We were incorporated in the State of Delaware on March 20, 2018. On June 17, 2020, a wholly-owned subsidiary of ours merged with and into Compass Therapeutics, a private limited liability company formed in 2014. Following the Merger, Compass Therapeutics was the surviving entity and became our wholly-owned subsidiary, and all of the outstanding common and preferred membership interests of Compass Therapeutics were converted into shares of our common stock. On June 17, 2020, we changed our name to Compass Therapeutics, Inc. As a result of the Merger, we acquired the business of Compass Therapeutics and we will continue the existing business operations of Compass Therapeutics as a public reporting company under the name Compass Therapeutics, Inc.</w:t>
      </w:r>
    </w:p>
    <w:p>
      <w:pPr>
        <w:spacing w:after="0" w:line="193" w:lineRule="exact"/>
        <w:rPr>
          <w:sz w:val="20"/>
          <w:szCs w:val="20"/>
          <w:color w:val="auto"/>
        </w:rPr>
      </w:pPr>
    </w:p>
    <w:p>
      <w:pPr>
        <w:ind w:right="340" w:firstLine="490"/>
        <w:spacing w:after="0" w:line="282" w:lineRule="auto"/>
        <w:rPr>
          <w:sz w:val="20"/>
          <w:szCs w:val="20"/>
          <w:color w:val="auto"/>
        </w:rPr>
      </w:pPr>
      <w:r>
        <w:rPr>
          <w:rFonts w:ascii="Arial" w:cs="Arial" w:eastAsia="Arial" w:hAnsi="Arial"/>
          <w:sz w:val="20"/>
          <w:szCs w:val="20"/>
          <w:color w:val="auto"/>
        </w:rPr>
        <w:t>Our principal executive offices are located at 80 Guest Street, Suite 601, Boston, Massachusetts 02135, and our telephone number is (617) 500-8099.</w:t>
      </w:r>
    </w:p>
    <w:p>
      <w:pPr>
        <w:spacing w:after="0" w:line="160" w:lineRule="exact"/>
        <w:rPr>
          <w:sz w:val="20"/>
          <w:szCs w:val="20"/>
          <w:color w:val="auto"/>
        </w:rPr>
      </w:pPr>
    </w:p>
    <w:p>
      <w:pPr>
        <w:ind w:right="240" w:firstLine="490"/>
        <w:spacing w:after="0" w:line="248" w:lineRule="auto"/>
        <w:rPr>
          <w:sz w:val="20"/>
          <w:szCs w:val="20"/>
          <w:color w:val="auto"/>
        </w:rPr>
      </w:pPr>
      <w:r>
        <w:rPr>
          <w:rFonts w:ascii="Arial" w:cs="Arial" w:eastAsia="Arial" w:hAnsi="Arial"/>
          <w:sz w:val="20"/>
          <w:szCs w:val="20"/>
          <w:color w:val="auto"/>
        </w:rPr>
        <w:t xml:space="preserve">Our website is </w:t>
      </w:r>
      <w:r>
        <w:rPr>
          <w:rFonts w:ascii="Arial" w:cs="Arial" w:eastAsia="Arial" w:hAnsi="Arial"/>
          <w:sz w:val="20"/>
          <w:szCs w:val="20"/>
          <w:u w:val="single" w:color="auto"/>
          <w:color w:val="1D3E9B"/>
        </w:rPr>
        <w:t>www.compasstherapeutics.com</w:t>
      </w:r>
      <w:r>
        <w:rPr>
          <w:rFonts w:ascii="Arial" w:cs="Arial" w:eastAsia="Arial" w:hAnsi="Arial"/>
          <w:sz w:val="20"/>
          <w:szCs w:val="20"/>
          <w:color w:val="auto"/>
        </w:rPr>
        <w:t xml:space="preserve"> . Our Form 10-K, Quarterly Reports on Form 10-Q, Current Reports on Form 8 -K and any amendments to such reports are filed with the SEC. We are subject to the informational requirements of the Exchange Act and file or furnish reports, proxy statements, and other information with the SEC. Such reports and other information filed by us with the SEC will be available free of charge on our website. The SEC maintains a website that contains proxy and other information that issuers file electronically with the SEC at </w:t>
      </w:r>
      <w:r>
        <w:rPr>
          <w:rFonts w:ascii="Arial" w:cs="Arial" w:eastAsia="Arial" w:hAnsi="Arial"/>
          <w:sz w:val="20"/>
          <w:szCs w:val="20"/>
          <w:u w:val="single" w:color="auto"/>
          <w:color w:val="1D3E9B"/>
        </w:rPr>
        <w:t>www.sec.gov</w:t>
      </w:r>
      <w:r>
        <w:rPr>
          <w:rFonts w:ascii="Arial" w:cs="Arial" w:eastAsia="Arial" w:hAnsi="Arial"/>
          <w:sz w:val="20"/>
          <w:szCs w:val="20"/>
          <w:color w:val="auto"/>
        </w:rPr>
        <w:t>.</w:t>
      </w:r>
    </w:p>
    <w:p>
      <w:pPr>
        <w:spacing w:after="0" w:line="193" w:lineRule="exact"/>
        <w:rPr>
          <w:sz w:val="20"/>
          <w:szCs w:val="20"/>
          <w:color w:val="auto"/>
        </w:rPr>
      </w:pPr>
    </w:p>
    <w:p>
      <w:pPr>
        <w:ind w:right="540" w:firstLine="490"/>
        <w:spacing w:after="0" w:line="282" w:lineRule="auto"/>
        <w:rPr>
          <w:sz w:val="20"/>
          <w:szCs w:val="20"/>
          <w:color w:val="auto"/>
        </w:rPr>
      </w:pPr>
      <w:r>
        <w:rPr>
          <w:rFonts w:ascii="Arial" w:cs="Arial" w:eastAsia="Arial" w:hAnsi="Arial"/>
          <w:sz w:val="20"/>
          <w:szCs w:val="20"/>
          <w:color w:val="auto"/>
        </w:rPr>
        <w:t>The contents of the websites referred to above are not incorporated into this filing. Further, our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9360"/>
          </w:cols>
          <w:pgMar w:left="1440" w:top="984" w:right="1440" w:bottom="161"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Item 1A. Risk Factors.</w:t>
      </w:r>
    </w:p>
    <w:p>
      <w:pPr>
        <w:spacing w:after="0" w:line="24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Investing in our common stock involves a high degree of risk. You should carefully consider the risks described below together with all of the other information in this Annual Report on Form 10-K ("Form 10-K"), including our financial statements and the related notes and the information described in the section titled “Management’s Discussion and Analysis of Financial Condition and Results of Operations,” and in our other filings with the SEC. If any of the events described below actually occurs, our business, results of operations, financial conditions, cash flows or prospects could be harmed. If that were to happen, you could lose all or part of your investment. Additional risks and uncertainties not presently known to us or that we currently deem immaterial may also impair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Our Financial Position and Need for Additional Capital</w:t>
      </w:r>
    </w:p>
    <w:p>
      <w:pPr>
        <w:spacing w:after="0" w:line="248" w:lineRule="exact"/>
        <w:rPr>
          <w:sz w:val="20"/>
          <w:szCs w:val="20"/>
          <w:color w:val="auto"/>
        </w:rPr>
      </w:pPr>
    </w:p>
    <w:p>
      <w:pPr>
        <w:jc w:val="both"/>
        <w:ind w:right="400"/>
        <w:spacing w:after="0" w:line="264" w:lineRule="auto"/>
        <w:rPr>
          <w:sz w:val="20"/>
          <w:szCs w:val="20"/>
          <w:color w:val="auto"/>
        </w:rPr>
      </w:pPr>
      <w:r>
        <w:rPr>
          <w:rFonts w:ascii="Arial" w:cs="Arial" w:eastAsia="Arial" w:hAnsi="Arial"/>
          <w:sz w:val="20"/>
          <w:szCs w:val="20"/>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r>
        <w:rPr>
          <w:rFonts w:ascii="Arial" w:cs="Arial" w:eastAsia="Arial" w:hAnsi="Arial"/>
          <w:sz w:val="20"/>
          <w:szCs w:val="20"/>
          <w:color w:val="auto"/>
        </w:rPr>
        <w:t>.</w:t>
      </w:r>
    </w:p>
    <w:p>
      <w:pPr>
        <w:spacing w:after="0" w:line="168"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auto"/>
        </w:rPr>
        <w:t>We are a clinical-stage biopharmaceutical company with a limited operating history. Since our founding in 2014, we have incurred significant net losses with an accumulated deficit of $431 million as of December 31, 2025. We have funded our operations to date primarily with proceeds from private placements of preferred and common equity, an underwritten public offering and a PIPE offering, as well as sales under our at- the-market offering program. Since commencing operations, we have devoted substantially all of our efforts and financial resources to organizing and staffing our company, identifying business development opportunities, raising capital, securing intellectual property rights related to our product candidates, conducting discovery, and research and development activities, including clinical development, for our product candidates.</w:t>
      </w:r>
    </w:p>
    <w:p>
      <w:pPr>
        <w:spacing w:after="0" w:line="196" w:lineRule="exact"/>
        <w:rPr>
          <w:sz w:val="20"/>
          <w:szCs w:val="20"/>
          <w:color w:val="auto"/>
        </w:rPr>
      </w:pPr>
    </w:p>
    <w:p>
      <w:pPr>
        <w:ind w:right="200" w:firstLine="490"/>
        <w:spacing w:after="0" w:line="253" w:lineRule="auto"/>
        <w:rPr>
          <w:sz w:val="20"/>
          <w:szCs w:val="20"/>
          <w:color w:val="auto"/>
        </w:rPr>
      </w:pPr>
      <w:r>
        <w:rPr>
          <w:rFonts w:ascii="Arial" w:cs="Arial" w:eastAsia="Arial" w:hAnsi="Arial"/>
          <w:sz w:val="20"/>
          <w:szCs w:val="20"/>
          <w:color w:val="auto"/>
        </w:rPr>
        <w:t>We expect that it will be several years, if ever, before we have a commercialized product. We expect to continue to incur significant expenses and operating losses for the foreseeable future. The net losses we incur may fluctuate significantly from quarter to quarter. We anticipate that our expenses will increase substantially if, and as, we:</w:t>
      </w:r>
    </w:p>
    <w:p>
      <w:pPr>
        <w:spacing w:after="0" w:line="202" w:lineRule="exact"/>
        <w:rPr>
          <w:sz w:val="20"/>
          <w:szCs w:val="20"/>
          <w:color w:val="auto"/>
        </w:rPr>
      </w:pPr>
    </w:p>
    <w:p>
      <w:pPr>
        <w:ind w:left="980" w:right="20" w:hanging="491"/>
        <w:spacing w:after="0" w:line="285"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continue to advance the preclinical and clinical development of our existing product candidates and our research programs;</w:t>
      </w:r>
    </w:p>
    <w:p>
      <w:pPr>
        <w:spacing w:after="0" w:line="169" w:lineRule="exact"/>
        <w:rPr>
          <w:rFonts w:ascii="Arial" w:cs="Arial" w:eastAsia="Arial" w:hAnsi="Arial"/>
          <w:sz w:val="20"/>
          <w:szCs w:val="20"/>
          <w:color w:val="auto"/>
        </w:rPr>
      </w:pPr>
    </w:p>
    <w:p>
      <w:pPr>
        <w:ind w:left="980" w:right="40" w:hanging="491"/>
        <w:spacing w:after="0" w:line="231"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leverage our research and development capabilities, including our proprietary StitchMabs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technology, to advance additional product candidates into preclinical and clinical development;</w:t>
      </w:r>
    </w:p>
    <w:p>
      <w:pPr>
        <w:spacing w:after="0" w:line="21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seek regulatory approvals for any product candidates that successfully complete clinical trials;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hire additional clinical, quality control, regulatory, scientific and administrative personnel;</w:t>
      </w:r>
    </w:p>
    <w:p>
      <w:pPr>
        <w:spacing w:after="0" w:line="254" w:lineRule="exact"/>
        <w:rPr>
          <w:rFonts w:ascii="Arial" w:cs="Arial" w:eastAsia="Arial" w:hAnsi="Arial"/>
          <w:sz w:val="20"/>
          <w:szCs w:val="20"/>
          <w:color w:val="auto"/>
        </w:rPr>
      </w:pPr>
    </w:p>
    <w:p>
      <w:pPr>
        <w:ind w:left="980" w:right="60" w:hanging="490"/>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expand our operational, financial and management systems and increase personnel, including to support our clinical development and our operations as a public company;</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254" w:lineRule="exact"/>
        <w:rPr>
          <w:rFonts w:ascii="Arial" w:cs="Arial" w:eastAsia="Arial" w:hAnsi="Arial"/>
          <w:sz w:val="20"/>
          <w:szCs w:val="20"/>
          <w:color w:val="auto"/>
        </w:rPr>
      </w:pPr>
    </w:p>
    <w:p>
      <w:pPr>
        <w:ind w:left="980" w:right="120" w:hanging="490"/>
        <w:spacing w:after="0" w:line="261"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establish a marketing, sales, distribution and medical affairs infrastructure to commercialize any products for which we may obtain marketing approval and commercialize, whether on our own or jointly with a partner;</w:t>
      </w:r>
    </w:p>
    <w:p>
      <w:pPr>
        <w:spacing w:after="0" w:line="19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acquire or in-license other technologies or engage in strategic partnerships; and</w:t>
      </w:r>
    </w:p>
    <w:p>
      <w:pPr>
        <w:spacing w:after="0" w:line="252" w:lineRule="exact"/>
        <w:rPr>
          <w:rFonts w:ascii="Arial" w:cs="Arial" w:eastAsia="Arial" w:hAnsi="Arial"/>
          <w:sz w:val="20"/>
          <w:szCs w:val="20"/>
          <w:color w:val="auto"/>
        </w:rPr>
      </w:pPr>
    </w:p>
    <w:p>
      <w:pPr>
        <w:ind w:left="980" w:right="300" w:hanging="490"/>
        <w:spacing w:after="0" w:line="282"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incur additional legal, accounting or other expenses in operating our business, including the additional costs associated with operating as a public company.</w:t>
      </w:r>
    </w:p>
    <w:p>
      <w:pPr>
        <w:spacing w:after="0" w:line="160" w:lineRule="exact"/>
        <w:rPr>
          <w:sz w:val="20"/>
          <w:szCs w:val="20"/>
          <w:color w:val="auto"/>
        </w:rPr>
      </w:pPr>
    </w:p>
    <w:p>
      <w:pPr>
        <w:ind w:right="420" w:firstLine="490"/>
        <w:spacing w:after="0" w:line="310" w:lineRule="auto"/>
        <w:rPr>
          <w:sz w:val="20"/>
          <w:szCs w:val="20"/>
          <w:color w:val="auto"/>
        </w:rPr>
      </w:pPr>
      <w:r>
        <w:rPr>
          <w:rFonts w:ascii="Arial" w:cs="Arial" w:eastAsia="Arial" w:hAnsi="Arial"/>
          <w:sz w:val="19"/>
          <w:szCs w:val="19"/>
          <w:color w:val="auto"/>
        </w:rPr>
        <w:t>To become and remain profitable, we must develop and eventually commercialize products with significant market potential. This will require us to be successful in a range of challenging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9360"/>
          </w:cols>
          <w:pgMar w:left="1440" w:top="984" w:right="1440" w:bottom="161" w:gutter="0" w:footer="0" w:header="0"/>
        </w:sectPr>
      </w:pPr>
    </w:p>
    <w:bookmarkStart w:id="40" w:name="page41"/>
    <w:bookmarkEnd w:id="40"/>
    <w:p>
      <w:pPr>
        <w:ind w:right="200"/>
        <w:spacing w:after="0" w:line="245" w:lineRule="auto"/>
        <w:rPr>
          <w:sz w:val="20"/>
          <w:szCs w:val="20"/>
          <w:color w:val="auto"/>
        </w:rPr>
      </w:pPr>
      <w:r>
        <w:rPr>
          <w:rFonts w:ascii="Arial" w:cs="Arial" w:eastAsia="Arial" w:hAnsi="Arial"/>
          <w:sz w:val="20"/>
          <w:szCs w:val="20"/>
          <w:color w:val="auto"/>
        </w:rPr>
        <w:t>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never generated revenue from product sales and may never be profitable.</w:t>
      </w:r>
    </w:p>
    <w:p>
      <w:pPr>
        <w:spacing w:after="0" w:line="236" w:lineRule="exact"/>
        <w:rPr>
          <w:sz w:val="20"/>
          <w:szCs w:val="20"/>
          <w:color w:val="auto"/>
        </w:rPr>
      </w:pPr>
    </w:p>
    <w:p>
      <w:pPr>
        <w:ind w:right="220" w:firstLine="490"/>
        <w:spacing w:after="0" w:line="266" w:lineRule="auto"/>
        <w:rPr>
          <w:sz w:val="20"/>
          <w:szCs w:val="20"/>
          <w:color w:val="auto"/>
        </w:rPr>
      </w:pPr>
      <w:r>
        <w:rPr>
          <w:rFonts w:ascii="Arial" w:cs="Arial" w:eastAsia="Arial" w:hAnsi="Arial"/>
          <w:sz w:val="19"/>
          <w:szCs w:val="19"/>
          <w:color w:val="auto"/>
        </w:rPr>
        <w:t>Our ability to generate revenue from product sales and achieve profitability depends on our ability, alone or with our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existing or future collaborators’, success in:</w:t>
      </w:r>
    </w:p>
    <w:p>
      <w:pPr>
        <w:spacing w:after="0" w:line="191" w:lineRule="exact"/>
        <w:rPr>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completing preclinical studies and clinical trials of our product candidates;</w:t>
      </w:r>
    </w:p>
    <w:p>
      <w:pPr>
        <w:spacing w:after="0" w:line="254" w:lineRule="exact"/>
        <w:rPr>
          <w:rFonts w:ascii="Arial" w:cs="Arial" w:eastAsia="Arial" w:hAnsi="Arial"/>
          <w:sz w:val="20"/>
          <w:szCs w:val="20"/>
          <w:color w:val="auto"/>
        </w:rPr>
      </w:pPr>
    </w:p>
    <w:p>
      <w:pPr>
        <w:ind w:left="980" w:right="900" w:hanging="490"/>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seeking and obtaining marketing approvals for any product candidates that we or our collaborators develop;</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identifying and developing new product candidates;</w:t>
      </w:r>
    </w:p>
    <w:p>
      <w:pPr>
        <w:spacing w:after="0" w:line="254" w:lineRule="exact"/>
        <w:rPr>
          <w:rFonts w:ascii="Arial" w:cs="Arial" w:eastAsia="Arial" w:hAnsi="Arial"/>
          <w:sz w:val="20"/>
          <w:szCs w:val="20"/>
          <w:color w:val="auto"/>
        </w:rPr>
      </w:pPr>
    </w:p>
    <w:p>
      <w:pPr>
        <w:jc w:val="both"/>
        <w:ind w:left="980" w:right="120" w:hanging="490"/>
        <w:spacing w:after="0" w:line="261"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93" w:lineRule="exact"/>
        <w:rPr>
          <w:rFonts w:ascii="Arial" w:cs="Arial" w:eastAsia="Arial" w:hAnsi="Arial"/>
          <w:sz w:val="20"/>
          <w:szCs w:val="20"/>
          <w:color w:val="auto"/>
        </w:rPr>
      </w:pPr>
    </w:p>
    <w:p>
      <w:pPr>
        <w:ind w:left="980" w:right="140" w:hanging="490"/>
        <w:spacing w:after="0" w:line="254"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200" w:lineRule="exact"/>
        <w:rPr>
          <w:rFonts w:ascii="Arial" w:cs="Arial" w:eastAsia="Arial" w:hAnsi="Arial"/>
          <w:sz w:val="20"/>
          <w:szCs w:val="20"/>
          <w:color w:val="auto"/>
        </w:rPr>
      </w:pPr>
    </w:p>
    <w:p>
      <w:pPr>
        <w:ind w:left="980" w:right="400" w:hanging="490"/>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obtaining market acceptance of product candidates, if approved, that we develop as viable treatment options;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addressing any competing technological and market developments;</w:t>
      </w:r>
    </w:p>
    <w:p>
      <w:pPr>
        <w:spacing w:after="0" w:line="252" w:lineRule="exact"/>
        <w:rPr>
          <w:rFonts w:ascii="Arial" w:cs="Arial" w:eastAsia="Arial" w:hAnsi="Arial"/>
          <w:sz w:val="20"/>
          <w:szCs w:val="20"/>
          <w:color w:val="auto"/>
        </w:rPr>
      </w:pPr>
    </w:p>
    <w:p>
      <w:pPr>
        <w:ind w:left="980" w:right="20" w:hanging="490"/>
        <w:spacing w:after="0" w:line="285"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negotiating favorable terms in any collaboration, licensing or other arrangements into which we may enter and performing our obligations under such arrangements;</w:t>
      </w:r>
    </w:p>
    <w:p>
      <w:pPr>
        <w:spacing w:after="0" w:line="169" w:lineRule="exact"/>
        <w:rPr>
          <w:rFonts w:ascii="Arial" w:cs="Arial" w:eastAsia="Arial" w:hAnsi="Arial"/>
          <w:sz w:val="20"/>
          <w:szCs w:val="20"/>
          <w:color w:val="auto"/>
        </w:rPr>
      </w:pPr>
    </w:p>
    <w:p>
      <w:pPr>
        <w:ind w:left="980" w:right="440" w:hanging="490"/>
        <w:spacing w:after="0" w:line="282"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maintaining, protecting and expanding our portfolio of intellectual property rights, including patents, trade secrets and know-how;</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defending against third-party interference or infringement claims, if any; and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attracting, hiring and retaining qualified personnel.</w:t>
      </w:r>
    </w:p>
    <w:p>
      <w:pPr>
        <w:spacing w:after="0" w:line="240"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or if there are any delays in establishing appropriate manufacturing arrangements for or in completing our clinical trials for the development of any of our product candidates. Even if we are able to generate revenue from the sale of any approved products, we may not become profitable and may need to obtain additional funding to continue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9360"/>
          </w:cols>
          <w:pgMar w:left="1440" w:top="988" w:right="1440" w:bottom="161" w:gutter="0" w:footer="0" w:header="0"/>
        </w:sectPr>
      </w:pPr>
    </w:p>
    <w:bookmarkStart w:id="41" w:name="page42"/>
    <w:bookmarkEnd w:id="41"/>
    <w:p>
      <w:pPr>
        <w:ind w:right="100"/>
        <w:spacing w:after="0" w:line="255" w:lineRule="auto"/>
        <w:rPr>
          <w:sz w:val="20"/>
          <w:szCs w:val="20"/>
          <w:color w:val="auto"/>
        </w:rPr>
      </w:pPr>
      <w:r>
        <w:rPr>
          <w:rFonts w:ascii="Arial" w:cs="Arial" w:eastAsia="Arial" w:hAnsi="Arial"/>
          <w:sz w:val="20"/>
          <w:szCs w:val="20"/>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78"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 Additionally, any delays due to changes in federal, state, or local laws and regulations or clinical site policies could impact our programs and increase our expenditures.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Our future capital requirements depend on many factors, including:</w:t>
      </w:r>
    </w:p>
    <w:p>
      <w:pPr>
        <w:spacing w:after="0" w:line="252" w:lineRule="exact"/>
        <w:rPr>
          <w:sz w:val="20"/>
          <w:szCs w:val="20"/>
          <w:color w:val="auto"/>
        </w:rPr>
      </w:pPr>
    </w:p>
    <w:p>
      <w:pPr>
        <w:ind w:left="980" w:right="560" w:hanging="490"/>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scope, progress, timing, results and costs of researching and developing our product candidates, and of conducting preclinical studies and clinical trials;</w:t>
      </w:r>
    </w:p>
    <w:p>
      <w:pPr>
        <w:spacing w:after="0" w:line="172" w:lineRule="exact"/>
        <w:rPr>
          <w:rFonts w:ascii="Arial" w:cs="Arial" w:eastAsia="Arial" w:hAnsi="Arial"/>
          <w:sz w:val="20"/>
          <w:szCs w:val="20"/>
          <w:color w:val="auto"/>
        </w:rPr>
      </w:pPr>
    </w:p>
    <w:p>
      <w:pPr>
        <w:ind w:left="980" w:right="160" w:hanging="490"/>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timing of, and the costs involved in, obtaining marketing approval for any of our current or future product candidates we develop, if clinical trials are successful;</w:t>
      </w:r>
    </w:p>
    <w:p>
      <w:pPr>
        <w:spacing w:after="0" w:line="172" w:lineRule="exact"/>
        <w:rPr>
          <w:rFonts w:ascii="Arial" w:cs="Arial" w:eastAsia="Arial" w:hAnsi="Arial"/>
          <w:sz w:val="20"/>
          <w:szCs w:val="20"/>
          <w:color w:val="auto"/>
        </w:rPr>
      </w:pPr>
    </w:p>
    <w:p>
      <w:pPr>
        <w:ind w:left="980" w:right="20" w:hanging="490"/>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costs of manufacturing our current and any future product candidates for preclinical studies and clinical trials and in preparation for marketing approval and commercialization;</w:t>
      </w:r>
    </w:p>
    <w:p>
      <w:pPr>
        <w:spacing w:after="0" w:line="172" w:lineRule="exact"/>
        <w:rPr>
          <w:rFonts w:ascii="Arial" w:cs="Arial" w:eastAsia="Arial" w:hAnsi="Arial"/>
          <w:sz w:val="20"/>
          <w:szCs w:val="20"/>
          <w:color w:val="auto"/>
        </w:rPr>
      </w:pPr>
    </w:p>
    <w:p>
      <w:pPr>
        <w:ind w:left="980" w:right="200" w:hanging="490"/>
        <w:spacing w:after="0" w:line="261"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costs of commercialization activities, including marketing, sales and distribution costs, for our products and any future product candidates we develop, whether alone or with a collaborator, if any of these product candidates are approved for sale;</w:t>
      </w:r>
    </w:p>
    <w:p>
      <w:pPr>
        <w:spacing w:after="0" w:line="193" w:lineRule="exact"/>
        <w:rPr>
          <w:rFonts w:ascii="Arial" w:cs="Arial" w:eastAsia="Arial" w:hAnsi="Arial"/>
          <w:sz w:val="20"/>
          <w:szCs w:val="20"/>
          <w:color w:val="auto"/>
        </w:rPr>
      </w:pPr>
    </w:p>
    <w:p>
      <w:pPr>
        <w:ind w:left="980" w:right="240" w:hanging="490"/>
        <w:spacing w:after="0" w:line="285"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ability to establish and maintain strategic collaborations, licensing or other arrangements on favorable terms, if at all;</w:t>
      </w:r>
    </w:p>
    <w:p>
      <w:pPr>
        <w:spacing w:after="0" w:line="169" w:lineRule="exact"/>
        <w:rPr>
          <w:rFonts w:ascii="Arial" w:cs="Arial" w:eastAsia="Arial" w:hAnsi="Arial"/>
          <w:sz w:val="20"/>
          <w:szCs w:val="20"/>
          <w:color w:val="auto"/>
        </w:rPr>
      </w:pPr>
    </w:p>
    <w:p>
      <w:pPr>
        <w:ind w:left="980" w:right="460" w:hanging="490"/>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costs involved in preparing, filing, prosecuting, maintaining, expanding, defending and enforcing patent claims, including litigation costs and the outcome of any such litigation;</w:t>
      </w:r>
    </w:p>
    <w:p>
      <w:pPr>
        <w:spacing w:after="0" w:line="172" w:lineRule="exact"/>
        <w:rPr>
          <w:rFonts w:ascii="Arial" w:cs="Arial" w:eastAsia="Arial" w:hAnsi="Arial"/>
          <w:sz w:val="20"/>
          <w:szCs w:val="20"/>
          <w:color w:val="auto"/>
        </w:rPr>
      </w:pPr>
    </w:p>
    <w:p>
      <w:pPr>
        <w:ind w:left="980" w:right="60" w:hanging="490"/>
        <w:spacing w:after="0" w:line="261"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93" w:lineRule="exact"/>
        <w:rPr>
          <w:rFonts w:ascii="Arial" w:cs="Arial" w:eastAsia="Arial" w:hAnsi="Arial"/>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timing, receipt and amount of sales of, on our future products, if any; and</w:t>
      </w:r>
    </w:p>
    <w:p>
      <w:pPr>
        <w:spacing w:after="0" w:line="254" w:lineRule="exact"/>
        <w:rPr>
          <w:rFonts w:ascii="Arial" w:cs="Arial" w:eastAsia="Arial" w:hAnsi="Arial"/>
          <w:sz w:val="20"/>
          <w:szCs w:val="20"/>
          <w:color w:val="auto"/>
        </w:rPr>
      </w:pPr>
    </w:p>
    <w:p>
      <w:pPr>
        <w:ind w:left="980" w:right="220" w:hanging="490"/>
        <w:spacing w:after="0" w:line="282"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emergence of competing therapies and other adverse developments in the oncology and immunology market.</w:t>
      </w:r>
    </w:p>
    <w:p>
      <w:pPr>
        <w:spacing w:after="0" w:line="160" w:lineRule="exact"/>
        <w:rPr>
          <w:sz w:val="20"/>
          <w:szCs w:val="20"/>
          <w:color w:val="auto"/>
        </w:rPr>
      </w:pPr>
    </w:p>
    <w:p>
      <w:pPr>
        <w:ind w:right="140" w:firstLine="490"/>
        <w:spacing w:after="0" w:line="244" w:lineRule="auto"/>
        <w:rPr>
          <w:sz w:val="20"/>
          <w:szCs w:val="20"/>
          <w:color w:val="auto"/>
        </w:rPr>
      </w:pPr>
      <w:r>
        <w:rPr>
          <w:rFonts w:ascii="Arial" w:cs="Arial" w:eastAsia="Arial" w:hAnsi="Arial"/>
          <w:sz w:val="20"/>
          <w:szCs w:val="20"/>
          <w:color w:val="auto"/>
        </w:rPr>
        <w:t>Until we can generate sufficient product revenue to finance our cash requirements, which we may never do, we expect to finance our future cash needs through a combination of public or private equity and debt financings, marketing and distribution arrangements, other collaborations, strategic alliances and licensing arrangements. As of December 31, 2025, we had $209 million in cash, cash equivalents and marketable securities. Based on our research and development plans, we expect that these cash resources will enable us to fund our operating expenses and capital expenditure requirements into 2028.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w:t>
      </w:r>
    </w:p>
    <w:p>
      <w:pPr>
        <w:spacing w:after="0" w:line="202" w:lineRule="exact"/>
        <w:rPr>
          <w:sz w:val="20"/>
          <w:szCs w:val="20"/>
          <w:color w:val="auto"/>
        </w:rPr>
      </w:pPr>
    </w:p>
    <w:p>
      <w:pPr>
        <w:ind w:right="140" w:firstLine="490"/>
        <w:spacing w:after="0" w:line="310" w:lineRule="auto"/>
        <w:rPr>
          <w:sz w:val="20"/>
          <w:szCs w:val="20"/>
          <w:color w:val="auto"/>
        </w:rPr>
      </w:pPr>
      <w:r>
        <w:rPr>
          <w:rFonts w:ascii="Arial" w:cs="Arial" w:eastAsia="Arial" w:hAnsi="Arial"/>
          <w:sz w:val="19"/>
          <w:szCs w:val="19"/>
          <w:color w:val="auto"/>
        </w:rPr>
        <w:t>If we raise additional capital through marketing, sales and distribution arrangements or other collaborations, strategic alliances or licensing arrangements with third parties, we may have to relinquish</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9360"/>
          </w:cols>
          <w:pgMar w:left="1440" w:top="992" w:right="1440" w:bottom="161" w:gutter="0" w:footer="0" w:header="0"/>
        </w:sectPr>
      </w:pPr>
    </w:p>
    <w:bookmarkStart w:id="42" w:name="page43"/>
    <w:bookmarkEnd w:id="42"/>
    <w:p>
      <w:pPr>
        <w:ind w:right="40"/>
        <w:spacing w:after="0" w:line="245" w:lineRule="auto"/>
        <w:rPr>
          <w:sz w:val="20"/>
          <w:szCs w:val="20"/>
          <w:color w:val="auto"/>
        </w:rPr>
      </w:pPr>
      <w:r>
        <w:rPr>
          <w:rFonts w:ascii="Arial" w:cs="Arial" w:eastAsia="Arial" w:hAnsi="Arial"/>
          <w:sz w:val="20"/>
          <w:szCs w:val="20"/>
          <w:color w:val="auto"/>
        </w:rPr>
        <w:t>certain valuable rights to our product candidates, future revenue streams or research programs,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additional sales of common stock or securities convertible or exchangeable into common stock, investors’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96"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92"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b w:val="1"/>
          <w:bCs w:val="1"/>
          <w:i w:val="1"/>
          <w:iCs w:val="1"/>
          <w:color w:val="auto"/>
        </w:rPr>
        <w:t>Recent volatility in capital markets and lower market prices for our securities may affect our ability to access new capital through sales of shares of our common stock or issuance of indebtedness, which may harm our liquidity and limit our ability to grow our business, pursue acquisitions, or improve our operating infrastructure.</w:t>
      </w:r>
    </w:p>
    <w:p>
      <w:pPr>
        <w:spacing w:after="0" w:line="178"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Our operations consume substantial amounts of cash, and we intend to continue to make significant investments to support our business growth, respond to business challenges or opportunities, develop our product candidates,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207" w:lineRule="exact"/>
        <w:rPr>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finance unanticipated working capital requirements;</w:t>
      </w:r>
    </w:p>
    <w:p>
      <w:pPr>
        <w:spacing w:after="0" w:line="252"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develop our product candidates;</w:t>
      </w:r>
    </w:p>
    <w:p>
      <w:pPr>
        <w:spacing w:after="0" w:line="254"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pursue acquisitions or other strategic relationships; and</w:t>
      </w:r>
    </w:p>
    <w:p>
      <w:pPr>
        <w:spacing w:after="0" w:line="252"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respond to competitive pressures.</w:t>
      </w:r>
    </w:p>
    <w:p>
      <w:pPr>
        <w:spacing w:after="0" w:line="243"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the Discovery and Development of Our Product Candidates</w:t>
      </w:r>
    </w:p>
    <w:p>
      <w:pPr>
        <w:spacing w:after="0" w:line="246"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46" w:lineRule="exact"/>
        <w:rPr>
          <w:sz w:val="20"/>
          <w:szCs w:val="20"/>
          <w:color w:val="auto"/>
        </w:rPr>
      </w:pPr>
    </w:p>
    <w:p>
      <w:pPr>
        <w:ind w:right="140" w:firstLine="490"/>
        <w:spacing w:after="0" w:line="247" w:lineRule="auto"/>
        <w:rPr>
          <w:sz w:val="20"/>
          <w:szCs w:val="20"/>
          <w:color w:val="auto"/>
        </w:rPr>
      </w:pPr>
      <w:r>
        <w:rPr>
          <w:rFonts w:ascii="Arial" w:cs="Arial" w:eastAsia="Arial" w:hAnsi="Arial"/>
          <w:sz w:val="20"/>
          <w:szCs w:val="20"/>
          <w:color w:val="auto"/>
        </w:rPr>
        <w:t>We are early in our development efforts. Our ability to generate product revenues, which we do not expect will occur for several years, if ever, will depend heavily on the successful development and eventual commercialization of our current products or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9360"/>
          </w:cols>
          <w:pgMar w:left="1440" w:top="988" w:right="1440" w:bottom="161" w:gutter="0" w:footer="0" w:header="0"/>
        </w:sectPr>
      </w:pPr>
    </w:p>
    <w:bookmarkStart w:id="43" w:name="page44"/>
    <w:bookmarkEnd w:id="43"/>
    <w:p>
      <w:pPr>
        <w:ind w:right="300"/>
        <w:spacing w:after="0" w:line="310" w:lineRule="auto"/>
        <w:rPr>
          <w:sz w:val="20"/>
          <w:szCs w:val="20"/>
          <w:color w:val="auto"/>
        </w:rPr>
      </w:pPr>
      <w:r>
        <w:rPr>
          <w:rFonts w:ascii="Arial" w:cs="Arial" w:eastAsia="Arial" w:hAnsi="Arial"/>
          <w:sz w:val="19"/>
          <w:szCs w:val="19"/>
          <w:color w:val="auto"/>
        </w:rPr>
        <w:t>clinical development and commercial production, building of a commercial organization and substantial investment and significant marketing efforts before we generate any revenues from product sales.</w:t>
      </w:r>
    </w:p>
    <w:p>
      <w:pPr>
        <w:spacing w:after="0" w:line="134" w:lineRule="exact"/>
        <w:rPr>
          <w:sz w:val="20"/>
          <w:szCs w:val="20"/>
          <w:color w:val="auto"/>
        </w:rPr>
      </w:pPr>
    </w:p>
    <w:p>
      <w:pPr>
        <w:ind w:right="340" w:firstLine="490"/>
        <w:spacing w:after="0" w:line="282" w:lineRule="auto"/>
        <w:rPr>
          <w:sz w:val="20"/>
          <w:szCs w:val="20"/>
          <w:color w:val="auto"/>
        </w:rPr>
      </w:pPr>
      <w:r>
        <w:rPr>
          <w:rFonts w:ascii="Arial" w:cs="Arial" w:eastAsia="Arial" w:hAnsi="Arial"/>
          <w:sz w:val="20"/>
          <w:szCs w:val="20"/>
          <w:color w:val="auto"/>
        </w:rPr>
        <w:t>The clinical and commercial success of our current and future product candidates will depend on several factors, including the following:</w:t>
      </w:r>
    </w:p>
    <w:p>
      <w:pPr>
        <w:spacing w:after="0" w:line="172" w:lineRule="exact"/>
        <w:rPr>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timely and successful completion of preclinical studies and our clinical trials;</w:t>
      </w:r>
    </w:p>
    <w:p>
      <w:pPr>
        <w:spacing w:after="0" w:line="254" w:lineRule="exact"/>
        <w:rPr>
          <w:rFonts w:ascii="Arial" w:cs="Arial" w:eastAsia="Arial" w:hAnsi="Arial"/>
          <w:sz w:val="20"/>
          <w:szCs w:val="20"/>
          <w:color w:val="auto"/>
        </w:rPr>
      </w:pPr>
    </w:p>
    <w:p>
      <w:pPr>
        <w:ind w:left="980" w:right="240" w:hanging="490"/>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sufficiency of our financial and other resources to complete the necessary preclinical studies and clinical trials;</w:t>
      </w:r>
    </w:p>
    <w:p>
      <w:pPr>
        <w:spacing w:after="0" w:line="172" w:lineRule="exact"/>
        <w:rPr>
          <w:rFonts w:ascii="Arial" w:cs="Arial" w:eastAsia="Arial" w:hAnsi="Arial"/>
          <w:sz w:val="20"/>
          <w:szCs w:val="20"/>
          <w:color w:val="auto"/>
        </w:rPr>
      </w:pPr>
    </w:p>
    <w:p>
      <w:pPr>
        <w:ind w:left="980" w:right="440" w:hanging="490"/>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plans to successfully submit new INDs with the FDA for our current and future product candidates;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complete preclinical studies for current or future product candidates;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successful enrollment in, and completion of clinical trials;</w:t>
      </w:r>
    </w:p>
    <w:p>
      <w:pPr>
        <w:spacing w:after="0" w:line="252" w:lineRule="exact"/>
        <w:rPr>
          <w:rFonts w:ascii="Arial" w:cs="Arial" w:eastAsia="Arial" w:hAnsi="Arial"/>
          <w:sz w:val="20"/>
          <w:szCs w:val="20"/>
          <w:color w:val="auto"/>
        </w:rPr>
      </w:pPr>
    </w:p>
    <w:p>
      <w:pPr>
        <w:ind w:left="980" w:right="40" w:hanging="490"/>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successful data from our clinical program that supports an acceptable risk-benefit profile of our product candidates in the intended patient populations;</w:t>
      </w:r>
    </w:p>
    <w:p>
      <w:pPr>
        <w:spacing w:after="0" w:line="172" w:lineRule="exact"/>
        <w:rPr>
          <w:rFonts w:ascii="Arial" w:cs="Arial" w:eastAsia="Arial" w:hAnsi="Arial"/>
          <w:sz w:val="20"/>
          <w:szCs w:val="20"/>
          <w:color w:val="auto"/>
        </w:rPr>
      </w:pPr>
    </w:p>
    <w:p>
      <w:pPr>
        <w:ind w:left="980" w:right="60" w:hanging="490"/>
        <w:spacing w:after="0" w:line="285"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establish agreements with third-party manufacturers on a timely and cost-efficient manner;</w:t>
      </w:r>
    </w:p>
    <w:p>
      <w:pPr>
        <w:spacing w:after="0" w:line="169" w:lineRule="exact"/>
        <w:rPr>
          <w:rFonts w:ascii="Arial" w:cs="Arial" w:eastAsia="Arial" w:hAnsi="Arial"/>
          <w:sz w:val="20"/>
          <w:szCs w:val="20"/>
          <w:color w:val="auto"/>
        </w:rPr>
      </w:pPr>
    </w:p>
    <w:p>
      <w:pPr>
        <w:ind w:left="980" w:right="260" w:hanging="490"/>
        <w:spacing w:after="0" w:line="261"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93" w:lineRule="exact"/>
        <w:rPr>
          <w:rFonts w:ascii="Arial" w:cs="Arial" w:eastAsia="Arial" w:hAnsi="Arial"/>
          <w:sz w:val="20"/>
          <w:szCs w:val="20"/>
          <w:color w:val="auto"/>
        </w:rPr>
      </w:pPr>
    </w:p>
    <w:p>
      <w:pPr>
        <w:ind w:left="980" w:right="280" w:hanging="490"/>
        <w:spacing w:after="0" w:line="261"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acceptance of our proposed indications and the primary endpoint assessments evaluated in the clinical trials of our product candidates by the FDA and comparable foreign regulatory authorities;</w:t>
      </w:r>
    </w:p>
    <w:p>
      <w:pPr>
        <w:spacing w:after="0" w:line="193" w:lineRule="exact"/>
        <w:rPr>
          <w:rFonts w:ascii="Arial" w:cs="Arial" w:eastAsia="Arial" w:hAnsi="Arial"/>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receipt and maintenance of timely marketing approvals from applicable regulatory authorities;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successfully launching commercial sales of our product candidates, if approved;</w:t>
      </w:r>
    </w:p>
    <w:p>
      <w:pPr>
        <w:spacing w:after="0" w:line="254" w:lineRule="exact"/>
        <w:rPr>
          <w:rFonts w:ascii="Arial" w:cs="Arial" w:eastAsia="Arial" w:hAnsi="Arial"/>
          <w:sz w:val="20"/>
          <w:szCs w:val="20"/>
          <w:color w:val="auto"/>
        </w:rPr>
      </w:pPr>
    </w:p>
    <w:p>
      <w:pPr>
        <w:ind w:left="980" w:right="1040" w:hanging="490"/>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prevalence, duration and severity of potential side effects or other safety issues experienced with our product candidates, if approved;</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entry into collaborations to further the development of our product candidates;</w:t>
      </w:r>
    </w:p>
    <w:p>
      <w:pPr>
        <w:spacing w:after="0" w:line="252" w:lineRule="exact"/>
        <w:rPr>
          <w:rFonts w:ascii="Arial" w:cs="Arial" w:eastAsia="Arial" w:hAnsi="Arial"/>
          <w:sz w:val="20"/>
          <w:szCs w:val="20"/>
          <w:color w:val="auto"/>
        </w:rPr>
      </w:pPr>
    </w:p>
    <w:p>
      <w:pPr>
        <w:ind w:left="980" w:right="280" w:hanging="490"/>
        <w:spacing w:after="0" w:line="285"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obtaining and maintaining patent and trade secret protection or regulatory exclusivity for our product candidates;</w:t>
      </w:r>
    </w:p>
    <w:p>
      <w:pPr>
        <w:spacing w:after="0" w:line="169" w:lineRule="exact"/>
        <w:rPr>
          <w:rFonts w:ascii="Arial" w:cs="Arial" w:eastAsia="Arial" w:hAnsi="Arial"/>
          <w:sz w:val="20"/>
          <w:szCs w:val="20"/>
          <w:color w:val="auto"/>
        </w:rPr>
      </w:pPr>
    </w:p>
    <w:p>
      <w:pPr>
        <w:ind w:left="980" w:right="300" w:hanging="490"/>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acceptance of the benefits and uses of our product candidates, if approved, by patients, the medical community and third-party payors;</w:t>
      </w:r>
    </w:p>
    <w:p>
      <w:pPr>
        <w:spacing w:after="0" w:line="172" w:lineRule="exact"/>
        <w:rPr>
          <w:rFonts w:ascii="Arial" w:cs="Arial" w:eastAsia="Arial" w:hAnsi="Arial"/>
          <w:sz w:val="20"/>
          <w:szCs w:val="20"/>
          <w:color w:val="auto"/>
        </w:rPr>
      </w:pPr>
    </w:p>
    <w:p>
      <w:pPr>
        <w:ind w:left="980" w:right="640" w:hanging="490"/>
        <w:spacing w:after="0" w:line="282"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maintaining a continued acceptable safety, tolerability and efficacy profile of the product candidates following approval;</w:t>
      </w:r>
    </w:p>
    <w:p>
      <w:pPr>
        <w:spacing w:after="0" w:line="172" w:lineRule="exact"/>
        <w:rPr>
          <w:rFonts w:ascii="Arial" w:cs="Arial" w:eastAsia="Arial" w:hAnsi="Arial"/>
          <w:sz w:val="20"/>
          <w:szCs w:val="20"/>
          <w:color w:val="auto"/>
        </w:rPr>
      </w:pPr>
    </w:p>
    <w:p>
      <w:pPr>
        <w:ind w:left="980" w:right="180" w:hanging="490"/>
        <w:spacing w:after="0" w:line="261" w:lineRule="auto"/>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compliance with any post-approval requirements imposed on our products, such as post-marketing studies, REMS or additional requirements that might limit the promotion, advertising, distribution or sales of our products or make the products cost prohibitive;</w:t>
      </w:r>
    </w:p>
    <w:p>
      <w:pPr>
        <w:spacing w:after="0" w:line="193" w:lineRule="exact"/>
        <w:rPr>
          <w:rFonts w:ascii="Arial" w:cs="Arial" w:eastAsia="Arial" w:hAnsi="Arial"/>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competing effectively with other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9360"/>
          </w:cols>
          <w:pgMar w:left="1440" w:top="988" w:right="1440" w:bottom="161" w:gutter="0" w:footer="0" w:header="0"/>
        </w:sectPr>
      </w:pPr>
    </w:p>
    <w:bookmarkStart w:id="44" w:name="page45"/>
    <w:bookmarkEnd w:id="44"/>
    <w:p>
      <w:pPr>
        <w:ind w:left="980" w:right="160" w:hanging="490"/>
        <w:spacing w:after="0" w:line="282" w:lineRule="auto"/>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obtaining and maintaining healthcare coverage and adequate reimbursement from third-party payors;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ability to identify bispecifics; and</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enforcing and defending intellectual property rights and claims.</w:t>
      </w:r>
    </w:p>
    <w:p>
      <w:pPr>
        <w:spacing w:after="0" w:line="240" w:lineRule="exact"/>
        <w:rPr>
          <w:sz w:val="20"/>
          <w:szCs w:val="20"/>
          <w:color w:val="auto"/>
        </w:rPr>
      </w:pPr>
    </w:p>
    <w:p>
      <w:pPr>
        <w:ind w:right="260" w:firstLine="490"/>
        <w:spacing w:after="0" w:line="245" w:lineRule="auto"/>
        <w:rPr>
          <w:sz w:val="20"/>
          <w:szCs w:val="20"/>
          <w:color w:val="auto"/>
        </w:rPr>
      </w:pPr>
      <w:r>
        <w:rPr>
          <w:rFonts w:ascii="Arial" w:cs="Arial" w:eastAsia="Arial" w:hAnsi="Arial"/>
          <w:sz w:val="20"/>
          <w:szCs w:val="20"/>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any other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68"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additional clinical trials. We cannot be certain the ongoing and planned preclinical studies or clinical trials for our current or any other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211" w:lineRule="exact"/>
        <w:rPr>
          <w:sz w:val="20"/>
          <w:szCs w:val="20"/>
          <w:color w:val="auto"/>
        </w:rPr>
      </w:pPr>
    </w:p>
    <w:p>
      <w:pPr>
        <w:ind w:left="980" w:right="620" w:hanging="490"/>
        <w:spacing w:after="0" w:line="282"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results from preclinical studies or clinical trials may not be predictive of results from later clinical trials of any product candidate;</w:t>
      </w:r>
    </w:p>
    <w:p>
      <w:pPr>
        <w:spacing w:after="0" w:line="172" w:lineRule="exact"/>
        <w:rPr>
          <w:rFonts w:ascii="Arial" w:cs="Arial" w:eastAsia="Arial" w:hAnsi="Arial"/>
          <w:sz w:val="20"/>
          <w:szCs w:val="20"/>
          <w:color w:val="auto"/>
        </w:rPr>
      </w:pPr>
    </w:p>
    <w:p>
      <w:pPr>
        <w:ind w:left="980" w:right="240" w:hanging="490"/>
        <w:spacing w:after="0" w:line="261"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FDA or other regulatory authorities, Institutional Review Boards ("IRBs"), or independent ethics committees may not authorize us or our investigators to commence a clinical trial or conduct a clinical trial at a prospective trial site;</w:t>
      </w:r>
    </w:p>
    <w:p>
      <w:pPr>
        <w:spacing w:after="0" w:line="193" w:lineRule="exact"/>
        <w:rPr>
          <w:rFonts w:ascii="Arial" w:cs="Arial" w:eastAsia="Arial" w:hAnsi="Arial"/>
          <w:sz w:val="20"/>
          <w:szCs w:val="20"/>
          <w:color w:val="auto"/>
        </w:rPr>
      </w:pPr>
    </w:p>
    <w:p>
      <w:pPr>
        <w:jc w:val="both"/>
        <w:ind w:left="980" w:right="140" w:hanging="490"/>
        <w:spacing w:after="0" w:line="262"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FDA or other regulatory authorities may require us to submit additional data such as long-term toxicology studies, or impose other requirements on us, before permitting us to initiate a clinical trial;</w:t>
      </w:r>
    </w:p>
    <w:p>
      <w:pPr>
        <w:spacing w:after="0" w:line="192" w:lineRule="exact"/>
        <w:rPr>
          <w:rFonts w:ascii="Arial" w:cs="Arial" w:eastAsia="Arial" w:hAnsi="Arial"/>
          <w:sz w:val="20"/>
          <w:szCs w:val="20"/>
          <w:color w:val="auto"/>
        </w:rPr>
      </w:pPr>
    </w:p>
    <w:p>
      <w:pPr>
        <w:ind w:left="980" w:right="120" w:hanging="490"/>
        <w:spacing w:after="0" w:line="253"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experience delays in reaching, or fail to reach, agreement on acceptable terms with prospective trial sites and prospective contract research organizations ("CROs"), as the terms of these agreements can be subject to extensive negotiation and vary significantly among different CROs and trial sites;</w:t>
      </w:r>
    </w:p>
    <w:p>
      <w:pPr>
        <w:spacing w:after="0" w:line="201" w:lineRule="exact"/>
        <w:rPr>
          <w:rFonts w:ascii="Arial" w:cs="Arial" w:eastAsia="Arial" w:hAnsi="Arial"/>
          <w:sz w:val="20"/>
          <w:szCs w:val="20"/>
          <w:color w:val="auto"/>
        </w:rPr>
      </w:pPr>
    </w:p>
    <w:p>
      <w:pPr>
        <w:ind w:left="980" w:right="200" w:hanging="490"/>
        <w:spacing w:after="0" w:line="254" w:lineRule="auto"/>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200" w:lineRule="exact"/>
        <w:rPr>
          <w:rFonts w:ascii="Arial" w:cs="Arial" w:eastAsia="Arial" w:hAnsi="Arial"/>
          <w:sz w:val="20"/>
          <w:szCs w:val="20"/>
          <w:color w:val="auto"/>
        </w:rPr>
      </w:pPr>
    </w:p>
    <w:p>
      <w:pPr>
        <w:ind w:left="980" w:right="60" w:hanging="490"/>
        <w:spacing w:after="0" w:line="272"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9360"/>
          </w:cols>
          <w:pgMar w:left="1440" w:top="1000" w:right="1440" w:bottom="161" w:gutter="0" w:footer="0" w:header="0"/>
        </w:sectPr>
      </w:pPr>
    </w:p>
    <w:bookmarkStart w:id="45" w:name="page46"/>
    <w:bookmarkEnd w:id="45"/>
    <w:p>
      <w:pPr>
        <w:ind w:left="980" w:right="300"/>
        <w:spacing w:after="0" w:line="282" w:lineRule="auto"/>
        <w:rPr>
          <w:sz w:val="20"/>
          <w:szCs w:val="20"/>
          <w:color w:val="auto"/>
        </w:rPr>
      </w:pPr>
      <w:r>
        <w:rPr>
          <w:rFonts w:ascii="Arial" w:cs="Arial" w:eastAsia="Arial" w:hAnsi="Arial"/>
          <w:sz w:val="20"/>
          <w:szCs w:val="20"/>
          <w:color w:val="auto"/>
        </w:rPr>
        <w:t>of approved effective treatments for the relevant disease and competition from other clinical trial programs for similar indications and clinical trial subjects;</w:t>
      </w:r>
    </w:p>
    <w:p>
      <w:pPr>
        <w:spacing w:after="0" w:line="172" w:lineRule="exact"/>
        <w:rPr>
          <w:sz w:val="20"/>
          <w:szCs w:val="20"/>
          <w:color w:val="auto"/>
        </w:rPr>
      </w:pPr>
    </w:p>
    <w:p>
      <w:pPr>
        <w:ind w:left="980" w:right="20" w:hanging="491"/>
        <w:spacing w:after="0" w:line="261"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enrollment in these clinical trials may be slower than we anticipate or participants may drop out of these clinical trials or may fail to return for post-treatment follow-up at a higher rate than we anticipate;</w:t>
      </w:r>
    </w:p>
    <w:p>
      <w:pPr>
        <w:spacing w:after="0" w:line="193" w:lineRule="exact"/>
        <w:rPr>
          <w:rFonts w:ascii="Arial" w:cs="Arial" w:eastAsia="Arial" w:hAnsi="Arial"/>
          <w:sz w:val="20"/>
          <w:szCs w:val="20"/>
          <w:color w:val="auto"/>
        </w:rPr>
      </w:pPr>
    </w:p>
    <w:p>
      <w:pPr>
        <w:ind w:left="980" w:right="120" w:hanging="491"/>
        <w:spacing w:after="0" w:line="254"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00" w:lineRule="exact"/>
        <w:rPr>
          <w:rFonts w:ascii="Arial" w:cs="Arial" w:eastAsia="Arial" w:hAnsi="Arial"/>
          <w:sz w:val="20"/>
          <w:szCs w:val="20"/>
          <w:color w:val="auto"/>
        </w:rPr>
      </w:pPr>
    </w:p>
    <w:p>
      <w:pPr>
        <w:ind w:left="980" w:right="20" w:hanging="491"/>
        <w:spacing w:after="0" w:line="254"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200" w:lineRule="exact"/>
        <w:rPr>
          <w:rFonts w:ascii="Arial" w:cs="Arial" w:eastAsia="Arial" w:hAnsi="Arial"/>
          <w:sz w:val="20"/>
          <w:szCs w:val="20"/>
          <w:color w:val="auto"/>
        </w:rPr>
      </w:pPr>
    </w:p>
    <w:p>
      <w:pPr>
        <w:ind w:left="980" w:right="560" w:hanging="491"/>
        <w:spacing w:after="0" w:line="261"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of our product candidates could cause undesirable side effects that could result in significant negative consequences, including the inability to enter clinical development or receive regulatory approval;</w:t>
      </w:r>
    </w:p>
    <w:p>
      <w:pPr>
        <w:spacing w:after="0" w:line="193" w:lineRule="exact"/>
        <w:rPr>
          <w:rFonts w:ascii="Arial" w:cs="Arial" w:eastAsia="Arial" w:hAnsi="Arial"/>
          <w:sz w:val="20"/>
          <w:szCs w:val="20"/>
          <w:color w:val="auto"/>
        </w:rPr>
      </w:pPr>
    </w:p>
    <w:p>
      <w:pPr>
        <w:ind w:left="980" w:right="720" w:hanging="491"/>
        <w:spacing w:after="0" w:line="282"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cost of preclinical or nonclinical testing and studies and clinical trials of any product candidates may be greater than we anticipate;</w:t>
      </w:r>
    </w:p>
    <w:p>
      <w:pPr>
        <w:spacing w:after="0" w:line="172" w:lineRule="exact"/>
        <w:rPr>
          <w:rFonts w:ascii="Arial" w:cs="Arial" w:eastAsia="Arial" w:hAnsi="Arial"/>
          <w:sz w:val="20"/>
          <w:szCs w:val="20"/>
          <w:color w:val="auto"/>
        </w:rPr>
      </w:pPr>
    </w:p>
    <w:p>
      <w:pPr>
        <w:ind w:left="980" w:right="280" w:hanging="491"/>
        <w:spacing w:after="0" w:line="254"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200" w:lineRule="exact"/>
        <w:rPr>
          <w:rFonts w:ascii="Arial" w:cs="Arial" w:eastAsia="Arial" w:hAnsi="Arial"/>
          <w:sz w:val="20"/>
          <w:szCs w:val="20"/>
          <w:color w:val="auto"/>
        </w:rPr>
      </w:pPr>
    </w:p>
    <w:p>
      <w:pPr>
        <w:ind w:left="980" w:right="220" w:hanging="491"/>
        <w:spacing w:after="0" w:line="282"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supply, quality or timeliness of delivery of materials for product candidates we develop or other materials necessary to conduct clinical trials may be insufficient or inadequate; and</w:t>
      </w:r>
    </w:p>
    <w:p>
      <w:pPr>
        <w:spacing w:after="0" w:line="172" w:lineRule="exact"/>
        <w:rPr>
          <w:rFonts w:ascii="Arial" w:cs="Arial" w:eastAsia="Arial" w:hAnsi="Arial"/>
          <w:sz w:val="20"/>
          <w:szCs w:val="20"/>
          <w:color w:val="auto"/>
        </w:rPr>
      </w:pPr>
    </w:p>
    <w:p>
      <w:pPr>
        <w:ind w:left="980" w:right="80" w:hanging="491"/>
        <w:spacing w:after="0" w:line="251" w:lineRule="auto"/>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may need to change the manufacturing site and potentially the contract development manufacturing organizations ("CDMO") for our product candidates from those that are able to produce clinical supply for our Phase 1 clinical trials to those with the capacity and ability to perform commercial manufacturing and/or the production of clinical material for our later stage clinical trials.</w:t>
      </w:r>
    </w:p>
    <w:p>
      <w:pPr>
        <w:spacing w:after="0" w:line="190" w:lineRule="exact"/>
        <w:rPr>
          <w:sz w:val="20"/>
          <w:szCs w:val="20"/>
          <w:color w:val="auto"/>
        </w:rPr>
      </w:pPr>
    </w:p>
    <w:p>
      <w:pPr>
        <w:ind w:right="20" w:firstLine="490"/>
        <w:spacing w:after="0" w:line="255" w:lineRule="auto"/>
        <w:rPr>
          <w:sz w:val="20"/>
          <w:szCs w:val="20"/>
          <w:color w:val="auto"/>
        </w:rPr>
      </w:pPr>
      <w:r>
        <w:rPr>
          <w:rFonts w:ascii="Arial" w:cs="Arial" w:eastAsia="Arial" w:hAnsi="Arial"/>
          <w:sz w:val="19"/>
          <w:szCs w:val="19"/>
          <w:color w:val="auto"/>
        </w:rPr>
        <w:t>We could encounter delays if a clinical trial is suspended or terminated by us, or by the IRBs of the institutions in which such trials are being conducted, ethics committees or the Data and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or other regulatory authorities may change the requirements for approval even after they have reviewed and commented on the design for our clinical trials. Further, the FDA or other regulatory authorities may disagree with our clinical trial design and our interpretation of data from clinical trials. For example, we are conducting and may in the future conduct additional “open-label”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may be subject to a “patient bias” where patients perceive their symptoms to have improved merely due to their awareness of receiving an experimental</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9360"/>
          </w:cols>
          <w:pgMar w:left="1440" w:top="988" w:right="1440" w:bottom="161" w:gutter="0" w:footer="0" w:header="0"/>
        </w:sectPr>
      </w:pPr>
    </w:p>
    <w:bookmarkStart w:id="46" w:name="page47"/>
    <w:bookmarkEnd w:id="46"/>
    <w:p>
      <w:pPr>
        <w:ind w:right="100"/>
        <w:spacing w:after="0" w:line="250" w:lineRule="auto"/>
        <w:rPr>
          <w:sz w:val="20"/>
          <w:szCs w:val="20"/>
          <w:color w:val="auto"/>
        </w:rPr>
      </w:pPr>
      <w:r>
        <w:rPr>
          <w:rFonts w:ascii="Arial" w:cs="Arial" w:eastAsia="Arial" w:hAnsi="Arial"/>
          <w:sz w:val="20"/>
          <w:szCs w:val="20"/>
          <w:color w:val="auto"/>
        </w:rPr>
        <w:t>treatment. Moreover, patients selected for early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2"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95" w:lineRule="exact"/>
        <w:rPr>
          <w:sz w:val="20"/>
          <w:szCs w:val="20"/>
          <w:color w:val="auto"/>
        </w:rPr>
      </w:pPr>
    </w:p>
    <w:p>
      <w:pPr>
        <w:ind w:right="40" w:firstLine="490"/>
        <w:spacing w:after="0" w:line="262" w:lineRule="auto"/>
        <w:rPr>
          <w:sz w:val="20"/>
          <w:szCs w:val="20"/>
          <w:color w:val="auto"/>
        </w:rPr>
      </w:pPr>
      <w:r>
        <w:rPr>
          <w:rFonts w:ascii="Arial" w:cs="Arial" w:eastAsia="Arial" w:hAnsi="Arial"/>
          <w:sz w:val="19"/>
          <w:szCs w:val="19"/>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w:t>
      </w:r>
    </w:p>
    <w:p>
      <w:pPr>
        <w:spacing w:after="0" w:line="179" w:lineRule="exact"/>
        <w:rPr>
          <w:sz w:val="20"/>
          <w:szCs w:val="20"/>
          <w:color w:val="auto"/>
        </w:rPr>
      </w:pPr>
    </w:p>
    <w:p>
      <w:pPr>
        <w:ind w:right="140" w:firstLine="490"/>
        <w:spacing w:after="0" w:line="282" w:lineRule="auto"/>
        <w:rPr>
          <w:sz w:val="20"/>
          <w:szCs w:val="20"/>
          <w:color w:val="auto"/>
        </w:rPr>
      </w:pPr>
      <w:r>
        <w:rPr>
          <w:rFonts w:ascii="Arial" w:cs="Arial" w:eastAsia="Arial" w:hAnsi="Arial"/>
          <w:sz w:val="20"/>
          <w:szCs w:val="20"/>
          <w:color w:val="auto"/>
        </w:rPr>
        <w:t>Any such events would impair our ability to successfully commercialize our product candidates and may harm our business and results of operations.</w:t>
      </w:r>
    </w:p>
    <w:p>
      <w:pPr>
        <w:spacing w:after="0" w:line="160" w:lineRule="exact"/>
        <w:rPr>
          <w:sz w:val="20"/>
          <w:szCs w:val="20"/>
          <w:color w:val="auto"/>
        </w:rPr>
      </w:pPr>
    </w:p>
    <w:p>
      <w:pPr>
        <w:ind w:right="20" w:firstLine="490"/>
        <w:spacing w:after="0" w:line="253" w:lineRule="auto"/>
        <w:rPr>
          <w:sz w:val="20"/>
          <w:szCs w:val="20"/>
          <w:color w:val="auto"/>
        </w:rPr>
      </w:pPr>
      <w:r>
        <w:rPr>
          <w:rFonts w:ascii="Arial" w:cs="Arial" w:eastAsia="Arial" w:hAnsi="Arial"/>
          <w:sz w:val="20"/>
          <w:szCs w:val="20"/>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94" w:lineRule="exact"/>
        <w:rPr>
          <w:sz w:val="20"/>
          <w:szCs w:val="20"/>
          <w:color w:val="auto"/>
        </w:rPr>
      </w:pPr>
    </w:p>
    <w:p>
      <w:pPr>
        <w:ind w:right="460"/>
        <w:spacing w:after="0" w:line="264" w:lineRule="auto"/>
        <w:rPr>
          <w:sz w:val="20"/>
          <w:szCs w:val="20"/>
          <w:color w:val="auto"/>
        </w:rPr>
      </w:pPr>
      <w:r>
        <w:rPr>
          <w:rFonts w:ascii="Arial" w:cs="Arial" w:eastAsia="Arial" w:hAnsi="Arial"/>
          <w:sz w:val="20"/>
          <w:szCs w:val="20"/>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68"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The risk of failure for product candidates still in the discovery or preclinical stage is high. In addition, any one or more of our product candidates that have not yet entered the clinic may never advance into clinical development.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02" w:lineRule="exact"/>
        <w:rPr>
          <w:sz w:val="20"/>
          <w:szCs w:val="20"/>
          <w:color w:val="auto"/>
        </w:rPr>
      </w:pPr>
    </w:p>
    <w:p>
      <w:pPr>
        <w:ind w:right="160" w:firstLine="490"/>
        <w:spacing w:after="0" w:line="272" w:lineRule="auto"/>
        <w:rPr>
          <w:sz w:val="20"/>
          <w:szCs w:val="20"/>
          <w:color w:val="auto"/>
        </w:rPr>
      </w:pPr>
      <w:r>
        <w:rPr>
          <w:rFonts w:ascii="Arial" w:cs="Arial" w:eastAsia="Arial" w:hAnsi="Arial"/>
          <w:sz w:val="19"/>
          <w:szCs w:val="19"/>
          <w:color w:val="auto"/>
        </w:rPr>
        <w:t>Conducting preclinical testing is a lengthy, time- 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9360"/>
          </w:cols>
          <w:pgMar w:left="1440" w:top="988" w:right="1440" w:bottom="161" w:gutter="0" w:footer="0" w:header="0"/>
        </w:sectPr>
      </w:pPr>
    </w:p>
    <w:bookmarkStart w:id="47" w:name="page48"/>
    <w:bookmarkEnd w:id="47"/>
    <w:p>
      <w:pPr>
        <w:ind w:right="420"/>
        <w:spacing w:after="0" w:line="282" w:lineRule="auto"/>
        <w:rPr>
          <w:sz w:val="20"/>
          <w:szCs w:val="20"/>
          <w:color w:val="auto"/>
        </w:rPr>
      </w:pPr>
      <w:r>
        <w:rPr>
          <w:rFonts w:ascii="Arial" w:cs="Arial" w:eastAsia="Arial" w:hAnsi="Arial"/>
          <w:sz w:val="20"/>
          <w:szCs w:val="20"/>
          <w:color w:val="auto"/>
        </w:rPr>
        <w:t>commencement and rate of completion of preclinical studies and clinical trials for a product candidate may be delayed by many factors, including but not limited to:</w:t>
      </w:r>
    </w:p>
    <w:p>
      <w:pPr>
        <w:spacing w:after="0" w:line="172" w:lineRule="exact"/>
        <w:rPr>
          <w:sz w:val="20"/>
          <w:szCs w:val="20"/>
          <w:color w:val="auto"/>
        </w:rPr>
      </w:pPr>
    </w:p>
    <w:p>
      <w:pPr>
        <w:ind w:left="980" w:right="620" w:hanging="490"/>
        <w:spacing w:after="0" w:line="282"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an inability to generate sufficient preclinical or other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or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data to support the initiation of clinical trials;</w:t>
      </w:r>
    </w:p>
    <w:p>
      <w:pPr>
        <w:spacing w:after="0" w:line="172"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delays in reaching a consensus with regulatory agencies on trial design; and</w:t>
      </w:r>
    </w:p>
    <w:p>
      <w:pPr>
        <w:spacing w:after="0" w:line="252" w:lineRule="exact"/>
        <w:rPr>
          <w:rFonts w:ascii="Arial" w:cs="Arial" w:eastAsia="Arial" w:hAnsi="Arial"/>
          <w:sz w:val="20"/>
          <w:szCs w:val="20"/>
          <w:color w:val="auto"/>
        </w:rPr>
      </w:pPr>
    </w:p>
    <w:p>
      <w:pPr>
        <w:ind w:left="980" w:right="60" w:hanging="490"/>
        <w:spacing w:after="0" w:line="285" w:lineRule="auto"/>
        <w:tabs>
          <w:tab w:leader="none" w:pos="9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FDA or foreign regulatory authorities not permitting the reliance on preclinical or other data from published scientific literature.</w:t>
      </w:r>
    </w:p>
    <w:p>
      <w:pPr>
        <w:spacing w:after="0" w:line="159" w:lineRule="exact"/>
        <w:rPr>
          <w:sz w:val="20"/>
          <w:szCs w:val="20"/>
          <w:color w:val="auto"/>
        </w:rPr>
      </w:pPr>
    </w:p>
    <w:p>
      <w:pPr>
        <w:jc w:val="both"/>
        <w:ind w:right="360"/>
        <w:spacing w:after="0" w:line="264" w:lineRule="auto"/>
        <w:rPr>
          <w:sz w:val="20"/>
          <w:szCs w:val="20"/>
          <w:color w:val="auto"/>
        </w:rPr>
      </w:pPr>
      <w:r>
        <w:rPr>
          <w:rFonts w:ascii="Arial" w:cs="Arial" w:eastAsia="Arial" w:hAnsi="Arial"/>
          <w:sz w:val="20"/>
          <w:szCs w:val="20"/>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168"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The results of preclinical studies may not be predictive of the results of clinical trials. Preclinical studies and early-stage clinical trials are primarily designed to test safety, to study PK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206" w:lineRule="exact"/>
        <w:rPr>
          <w:sz w:val="20"/>
          <w:szCs w:val="20"/>
          <w:color w:val="auto"/>
        </w:rPr>
      </w:pPr>
    </w:p>
    <w:p>
      <w:pPr>
        <w:ind w:right="100" w:firstLine="490"/>
        <w:spacing w:after="0" w:line="243" w:lineRule="auto"/>
        <w:rPr>
          <w:sz w:val="20"/>
          <w:szCs w:val="20"/>
          <w:color w:val="auto"/>
        </w:rPr>
      </w:pPr>
      <w:r>
        <w:rPr>
          <w:rFonts w:ascii="Arial" w:cs="Arial" w:eastAsia="Arial" w:hAnsi="Arial"/>
          <w:sz w:val="20"/>
          <w:szCs w:val="20"/>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03" w:lineRule="exact"/>
        <w:rPr>
          <w:sz w:val="20"/>
          <w:szCs w:val="20"/>
          <w:color w:val="auto"/>
        </w:rPr>
      </w:pPr>
    </w:p>
    <w:p>
      <w:pPr>
        <w:jc w:val="both"/>
        <w:ind w:right="280"/>
        <w:spacing w:after="0" w:line="264" w:lineRule="auto"/>
        <w:rPr>
          <w:sz w:val="20"/>
          <w:szCs w:val="20"/>
          <w:color w:val="auto"/>
        </w:rPr>
      </w:pPr>
      <w:r>
        <w:rPr>
          <w:rFonts w:ascii="Arial" w:cs="Arial" w:eastAsia="Arial" w:hAnsi="Arial"/>
          <w:sz w:val="20"/>
          <w:szCs w:val="20"/>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68" w:lineRule="exact"/>
        <w:rPr>
          <w:sz w:val="20"/>
          <w:szCs w:val="20"/>
          <w:color w:val="auto"/>
        </w:rPr>
      </w:pPr>
    </w:p>
    <w:p>
      <w:pPr>
        <w:ind w:right="140" w:firstLine="489"/>
        <w:spacing w:after="0" w:line="245" w:lineRule="auto"/>
        <w:rPr>
          <w:sz w:val="20"/>
          <w:szCs w:val="20"/>
          <w:color w:val="auto"/>
        </w:rPr>
      </w:pPr>
      <w:r>
        <w:rPr>
          <w:rFonts w:ascii="Arial" w:cs="Arial" w:eastAsia="Arial" w:hAnsi="Arial"/>
          <w:sz w:val="20"/>
          <w:szCs w:val="20"/>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 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9360"/>
          </w:cols>
          <w:pgMar w:left="1440" w:top="988" w:right="1440" w:bottom="161" w:gutter="0" w:footer="0" w:header="0"/>
        </w:sectPr>
      </w:pPr>
    </w:p>
    <w:bookmarkStart w:id="48" w:name="page49"/>
    <w:bookmarkEnd w:id="48"/>
    <w:p>
      <w:pPr>
        <w:jc w:val="both"/>
        <w:ind w:right="1000"/>
        <w:spacing w:after="0" w:line="263" w:lineRule="auto"/>
        <w:rPr>
          <w:sz w:val="20"/>
          <w:szCs w:val="20"/>
          <w:color w:val="auto"/>
        </w:rPr>
      </w:pPr>
      <w:r>
        <w:rPr>
          <w:rFonts w:ascii="Arial" w:cs="Arial" w:eastAsia="Arial" w:hAnsi="Arial"/>
          <w:sz w:val="20"/>
          <w:szCs w:val="20"/>
          <w:b w:val="1"/>
          <w:bCs w:val="1"/>
          <w:i w:val="1"/>
          <w:iCs w:val="1"/>
          <w:color w:val="auto"/>
        </w:rPr>
        <w:t>Our bispecific and monoclonal antibody product candidates are a new potential class of therapeutics, which makes it difficult to predict the time and cost of development and of subsequently obtaining regulatory approval, if at all.</w:t>
      </w:r>
    </w:p>
    <w:p>
      <w:pPr>
        <w:spacing w:after="0" w:line="169" w:lineRule="exact"/>
        <w:rPr>
          <w:sz w:val="20"/>
          <w:szCs w:val="20"/>
          <w:color w:val="auto"/>
        </w:rPr>
      </w:pPr>
    </w:p>
    <w:p>
      <w:pPr>
        <w:ind w:right="80" w:firstLine="490"/>
        <w:spacing w:after="0" w:line="242" w:lineRule="auto"/>
        <w:rPr>
          <w:sz w:val="20"/>
          <w:szCs w:val="20"/>
          <w:color w:val="auto"/>
        </w:rPr>
      </w:pPr>
      <w:r>
        <w:rPr>
          <w:rFonts w:ascii="Arial" w:cs="Arial" w:eastAsia="Arial" w:hAnsi="Arial"/>
          <w:sz w:val="20"/>
          <w:szCs w:val="20"/>
          <w:color w:val="auto"/>
        </w:rPr>
        <w:t>Our bispecific and monoclonal antibody technology is relatively new. As such it is difficult to accurately predict the developmental challenges we may incur for our product candidates as they proceed through product discovery or identification, preclinical studies and clinical trials. In addition, because we have not yet completed clinical trials that we have sponsored, we have not yet been able to meaningfully assess safety of those candidates in humans, and there may be short -term or long-term effects from treatment with any product candidates that we develop that we cannot predict at this time. Also, animal models may not exist for some of the diseases we choose to pursue in our programs. Furthermore, agonist antibodies have demonstrated substantial toxicity in humans and there is no assurance that our product candidates will not have the same adverse side effects. As a result of these factors, it is more difficult for us to predict the time and cost of product candidate development, and we cannot predict whether the application of our antibody therapeutics and our bispecifics, or any similar or competitive technologies, will result in the identification, development, and regulatory approval of any products. There can be no assurance that any development problems we experience in the future related to our agonist antibodies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product candidates we may develop on a timely or profitable basis, if at all.</w:t>
      </w:r>
    </w:p>
    <w:p>
      <w:pPr>
        <w:spacing w:after="0" w:line="208"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No products based on agonist antibodies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the European Union or other regions of the world or how long it will take to commercialize our product candidates.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11" w:lineRule="exact"/>
        <w:rPr>
          <w:sz w:val="20"/>
          <w:szCs w:val="20"/>
          <w:color w:val="auto"/>
        </w:rPr>
      </w:pPr>
    </w:p>
    <w:p>
      <w:pPr>
        <w:ind w:right="300"/>
        <w:spacing w:after="0" w:line="256" w:lineRule="auto"/>
        <w:rPr>
          <w:sz w:val="20"/>
          <w:szCs w:val="20"/>
          <w:color w:val="auto"/>
        </w:rPr>
      </w:pPr>
      <w:r>
        <w:rPr>
          <w:rFonts w:ascii="Arial" w:cs="Arial" w:eastAsia="Arial" w:hAnsi="Arial"/>
          <w:sz w:val="20"/>
          <w:szCs w:val="20"/>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176"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biological products, use of our current or future product candidates could be associated with side effects or adverse events which can vary in severity from minor reactions to death and in frequency from infrequent to prevalent. There have been serious adverse side effects reported in response to antibody therapeutics and bispecifics in oncology.</w:t>
      </w:r>
    </w:p>
    <w:p>
      <w:pPr>
        <w:spacing w:after="0" w:line="198"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Immuno-oncology drugs have been observed to cause side effects, generally related to over activation of the immune system. These include colitis, diabetes, pituitary inflammation, thyroiditis, myocarditis, liver inflammation, thrombocytopenia, among others. Our immuno-oncology product candidates may have similar or additional side effects. Treatment-related side effects may emerge at a later time in our trials.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 There can be no assurance that any of our current or future product candidates will not demonstrate unacceptable toxicities in later testing that may render it unsafe or intolerable.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9360"/>
          </w:cols>
          <w:pgMar w:left="1440" w:top="992" w:right="1440" w:bottom="161" w:gutter="0" w:footer="0" w:header="0"/>
        </w:sectPr>
      </w:pPr>
    </w:p>
    <w:bookmarkStart w:id="49" w:name="page50"/>
    <w:bookmarkEnd w:id="49"/>
    <w:p>
      <w:pPr>
        <w:ind w:right="20" w:firstLine="490"/>
        <w:spacing w:after="0" w:line="244" w:lineRule="auto"/>
        <w:rPr>
          <w:sz w:val="20"/>
          <w:szCs w:val="20"/>
          <w:color w:val="auto"/>
        </w:rPr>
      </w:pPr>
      <w:r>
        <w:rPr>
          <w:rFonts w:ascii="Arial" w:cs="Arial" w:eastAsia="Arial" w:hAnsi="Arial"/>
          <w:sz w:val="20"/>
          <w:szCs w:val="20"/>
          <w:color w:val="auto"/>
        </w:rPr>
        <w:t>If unacceptable side effects arise in the development of our product candidates,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 -related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8"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Antibody therapeutics and bispecifics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our current product candidates are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98"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In addition, we intend to pursue our product candidates in combination with other therapies and may develop future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w:t>
      </w:r>
    </w:p>
    <w:p>
      <w:pPr>
        <w:spacing w:after="0" w:line="202" w:lineRule="exact"/>
        <w:rPr>
          <w:sz w:val="20"/>
          <w:szCs w:val="20"/>
          <w:color w:val="auto"/>
        </w:rPr>
      </w:pPr>
    </w:p>
    <w:p>
      <w:pPr>
        <w:ind w:right="40" w:firstLine="490"/>
        <w:spacing w:after="0" w:line="248" w:lineRule="auto"/>
        <w:rPr>
          <w:sz w:val="20"/>
          <w:szCs w:val="20"/>
          <w:color w:val="auto"/>
        </w:rPr>
      </w:pPr>
      <w:r>
        <w:rPr>
          <w:rFonts w:ascii="Arial" w:cs="Arial" w:eastAsia="Arial" w:hAnsi="Arial"/>
          <w:sz w:val="20"/>
          <w:szCs w:val="20"/>
          <w:color w:val="auto"/>
        </w:rPr>
        <w:t>Even if we successfully advance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94" w:lineRule="exact"/>
        <w:rPr>
          <w:sz w:val="20"/>
          <w:szCs w:val="20"/>
          <w:color w:val="auto"/>
        </w:rPr>
      </w:pPr>
    </w:p>
    <w:p>
      <w:pPr>
        <w:ind w:right="780" w:firstLine="490"/>
        <w:spacing w:after="0" w:line="261" w:lineRule="auto"/>
        <w:rPr>
          <w:sz w:val="20"/>
          <w:szCs w:val="20"/>
          <w:color w:val="auto"/>
        </w:rPr>
      </w:pPr>
      <w:r>
        <w:rPr>
          <w:rFonts w:ascii="Arial" w:cs="Arial" w:eastAsia="Arial" w:hAnsi="Arial"/>
          <w:sz w:val="20"/>
          <w:szCs w:val="20"/>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93" w:lineRule="exact"/>
        <w:rPr>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regulatory authorities may withdraw their approval of the product;</w:t>
      </w:r>
    </w:p>
    <w:p>
      <w:pPr>
        <w:spacing w:after="0" w:line="252" w:lineRule="exact"/>
        <w:rPr>
          <w:rFonts w:ascii="Arial" w:cs="Arial" w:eastAsia="Arial" w:hAnsi="Arial"/>
          <w:sz w:val="20"/>
          <w:szCs w:val="20"/>
          <w:color w:val="auto"/>
        </w:rPr>
      </w:pPr>
    </w:p>
    <w:p>
      <w:pPr>
        <w:ind w:left="980" w:right="460" w:hanging="491"/>
        <w:spacing w:after="0" w:line="285"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we may be required to recall a product or change the way such product is administered to patients;</w:t>
      </w:r>
    </w:p>
    <w:p>
      <w:pPr>
        <w:spacing w:after="0" w:line="169" w:lineRule="exact"/>
        <w:rPr>
          <w:rFonts w:ascii="Arial" w:cs="Arial" w:eastAsia="Arial" w:hAnsi="Arial"/>
          <w:sz w:val="20"/>
          <w:szCs w:val="20"/>
          <w:color w:val="auto"/>
        </w:rPr>
      </w:pPr>
    </w:p>
    <w:p>
      <w:pPr>
        <w:ind w:left="980" w:right="720" w:hanging="491"/>
        <w:spacing w:after="0" w:line="282"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additional restrictions may be imposed on the marketing of the particular product or the manufacturing processes for the product or any component thereof;</w:t>
      </w:r>
    </w:p>
    <w:p>
      <w:pPr>
        <w:spacing w:after="0" w:line="172" w:lineRule="exact"/>
        <w:rPr>
          <w:rFonts w:ascii="Arial" w:cs="Arial" w:eastAsia="Arial" w:hAnsi="Arial"/>
          <w:sz w:val="20"/>
          <w:szCs w:val="20"/>
          <w:color w:val="auto"/>
        </w:rPr>
      </w:pPr>
    </w:p>
    <w:p>
      <w:pPr>
        <w:ind w:left="980" w:right="320" w:hanging="491"/>
        <w:spacing w:after="0" w:line="282" w:lineRule="auto"/>
        <w:tabs>
          <w:tab w:leader="none" w:pos="9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9360"/>
          </w:cols>
          <w:pgMar w:left="1440" w:top="988" w:right="1440" w:bottom="161" w:gutter="0" w:footer="0" w:header="0"/>
        </w:sectPr>
      </w:pPr>
    </w:p>
    <w:bookmarkStart w:id="50" w:name="page51"/>
    <w:bookmarkEnd w:id="50"/>
    <w:p>
      <w:pPr>
        <w:ind w:left="980" w:right="220" w:hanging="490"/>
        <w:spacing w:after="0" w:line="282"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be required to implement a REMS or create a medication guide outlining the risks of such side effects for distribution to patients;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could be sued and held liable for harm caused to patients;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product may become less competitive; and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reputation may suffer.</w:t>
      </w:r>
    </w:p>
    <w:p>
      <w:pPr>
        <w:spacing w:after="0" w:line="240" w:lineRule="exact"/>
        <w:rPr>
          <w:sz w:val="20"/>
          <w:szCs w:val="20"/>
          <w:color w:val="auto"/>
        </w:rPr>
      </w:pPr>
    </w:p>
    <w:p>
      <w:pPr>
        <w:ind w:right="280" w:firstLine="490"/>
        <w:spacing w:after="0" w:line="251" w:lineRule="auto"/>
        <w:rPr>
          <w:sz w:val="20"/>
          <w:szCs w:val="20"/>
          <w:color w:val="auto"/>
        </w:rPr>
      </w:pPr>
      <w:r>
        <w:rPr>
          <w:rFonts w:ascii="Arial" w:cs="Arial" w:eastAsia="Arial" w:hAnsi="Arial"/>
          <w:sz w:val="20"/>
          <w:szCs w:val="20"/>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antibody therapeutic development approach generally prove to be unsafe, our entire technology platform and pipeline could be affected, which would also materially harm our business.</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83"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The design and implementation of clinical trials is a complex process. We have limited experience designing and implementing clinical trials, and we may not successfully or cost- 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trial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clinical trials. See “—</w:t>
      </w:r>
      <w:r>
        <w:rPr>
          <w:rFonts w:ascii="Arial" w:cs="Arial" w:eastAsia="Arial" w:hAnsi="Arial"/>
          <w:sz w:val="20"/>
          <w:szCs w:val="20"/>
          <w:i w:val="1"/>
          <w:iCs w:val="1"/>
          <w:color w:val="auto"/>
        </w:rPr>
        <w:t>Risks</w:t>
      </w:r>
      <w:r>
        <w:rPr>
          <w:rFonts w:ascii="Arial" w:cs="Arial" w:eastAsia="Arial" w:hAnsi="Arial"/>
          <w:sz w:val="20"/>
          <w:szCs w:val="20"/>
          <w:color w:val="auto"/>
        </w:rPr>
        <w:t xml:space="preserve"> </w:t>
      </w:r>
      <w:r>
        <w:rPr>
          <w:rFonts w:ascii="Arial" w:cs="Arial" w:eastAsia="Arial" w:hAnsi="Arial"/>
          <w:sz w:val="20"/>
          <w:szCs w:val="20"/>
          <w:i w:val="1"/>
          <w:iCs w:val="1"/>
          <w:color w:val="auto"/>
        </w:rPr>
        <w:t>Related to Reliance on Third Parties—We rely or will rely on third parties to help conduct our ongoing and planned preclinical studies and clinical trials for our current product candidates and any future product candidates we develop. If these third parties do not successfully carry out their contractual duties, comply with regulatory requirements or meet expected deadlines, we may not be able to obtain marketing approval for or commercialize for our current product candidates or future product candidates we develop and our business could be materially harmed</w:t>
      </w:r>
      <w:r>
        <w:rPr>
          <w:rFonts w:ascii="Arial" w:cs="Arial" w:eastAsia="Arial" w:hAnsi="Arial"/>
          <w:sz w:val="20"/>
          <w:szCs w:val="20"/>
          <w:color w:val="auto"/>
        </w:rPr>
        <w:t>.” Consequently, we may be unable to successfully and</w:t>
      </w:r>
      <w:r>
        <w:rPr>
          <w:rFonts w:ascii="Arial" w:cs="Arial" w:eastAsia="Arial" w:hAnsi="Arial"/>
          <w:sz w:val="20"/>
          <w:szCs w:val="20"/>
          <w:i w:val="1"/>
          <w:iCs w:val="1"/>
          <w:color w:val="auto"/>
        </w:rPr>
        <w:t xml:space="preserve"> </w:t>
      </w:r>
      <w:r>
        <w:rPr>
          <w:rFonts w:ascii="Arial" w:cs="Arial" w:eastAsia="Arial" w:hAnsi="Arial"/>
          <w:sz w:val="20"/>
          <w:szCs w:val="20"/>
          <w:color w:val="auto"/>
        </w:rPr>
        <w:t>efficiently execute and complete clinical trials that are required for BLA submission and FDA approval of our current or future product candidates. We may require more time and incur greater costs than our competitors and may not succeed in obtaining regulatory approvals of product candidates that we develop.</w:t>
      </w:r>
    </w:p>
    <w:p>
      <w:pPr>
        <w:spacing w:after="0" w:line="206"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145" w:lineRule="exact"/>
        <w:rPr>
          <w:sz w:val="20"/>
          <w:szCs w:val="20"/>
          <w:color w:val="auto"/>
        </w:rPr>
      </w:pPr>
    </w:p>
    <w:p>
      <w:pPr>
        <w:ind w:right="20" w:firstLine="490"/>
        <w:spacing w:after="0" w:line="253" w:lineRule="auto"/>
        <w:rPr>
          <w:sz w:val="20"/>
          <w:szCs w:val="20"/>
          <w:color w:val="auto"/>
        </w:rPr>
      </w:pPr>
      <w:r>
        <w:rPr>
          <w:rFonts w:ascii="Arial" w:cs="Arial" w:eastAsia="Arial" w:hAnsi="Arial"/>
          <w:sz w:val="20"/>
          <w:szCs w:val="20"/>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202" w:lineRule="exact"/>
        <w:rPr>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patient eligibility criteria defined in the protocol;</w:t>
      </w:r>
    </w:p>
    <w:p>
      <w:pPr>
        <w:spacing w:after="0" w:line="254" w:lineRule="exact"/>
        <w:rPr>
          <w:rFonts w:ascii="Arial" w:cs="Arial" w:eastAsia="Arial" w:hAnsi="Arial"/>
          <w:sz w:val="20"/>
          <w:szCs w:val="20"/>
          <w:color w:val="auto"/>
        </w:rPr>
      </w:pPr>
    </w:p>
    <w:p>
      <w:pPr>
        <w:ind w:left="980" w:right="840" w:hanging="491"/>
        <w:spacing w:after="0" w:line="282"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nature and size of the patient population required for analysis of the trial’s primary endpoints and the process for identifying patients;</w:t>
      </w:r>
    </w:p>
    <w:p>
      <w:pPr>
        <w:spacing w:after="0" w:line="172"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number and location of participating clinical sites or patients;</w:t>
      </w:r>
    </w:p>
    <w:p>
      <w:pPr>
        <w:spacing w:after="0" w:line="252"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design of the trial;</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9360"/>
          </w:cols>
          <w:pgMar w:left="1440" w:top="1000" w:right="1440" w:bottom="161" w:gutter="0" w:footer="0" w:header="0"/>
        </w:sectPr>
      </w:pPr>
    </w:p>
    <w:bookmarkStart w:id="51" w:name="page52"/>
    <w:bookmarkEnd w:id="51"/>
    <w:p>
      <w:pPr>
        <w:ind w:left="980" w:right="1000" w:hanging="490"/>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recruit clinical trial investigators with the appropriate competencies and experience;</w:t>
      </w:r>
    </w:p>
    <w:p>
      <w:pPr>
        <w:spacing w:after="0" w:line="172" w:lineRule="exact"/>
        <w:rPr>
          <w:rFonts w:ascii="Arial" w:cs="Arial" w:eastAsia="Arial" w:hAnsi="Arial"/>
          <w:sz w:val="20"/>
          <w:szCs w:val="20"/>
          <w:color w:val="auto"/>
        </w:rPr>
      </w:pPr>
    </w:p>
    <w:p>
      <w:pPr>
        <w:jc w:val="both"/>
        <w:ind w:left="980" w:right="380" w:hanging="490"/>
        <w:spacing w:after="0" w:line="261"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93" w:lineRule="exact"/>
        <w:rPr>
          <w:rFonts w:ascii="Arial" w:cs="Arial" w:eastAsia="Arial" w:hAnsi="Arial"/>
          <w:sz w:val="20"/>
          <w:szCs w:val="20"/>
          <w:color w:val="auto"/>
        </w:rPr>
      </w:pPr>
    </w:p>
    <w:p>
      <w:pPr>
        <w:ind w:left="980" w:right="640" w:hanging="490"/>
        <w:spacing w:after="0" w:line="285"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availability of competing commercially available therapies and other competing drug candidates’ clinical trials;</w:t>
      </w:r>
    </w:p>
    <w:p>
      <w:pPr>
        <w:spacing w:after="0" w:line="169" w:lineRule="exact"/>
        <w:rPr>
          <w:rFonts w:ascii="Arial" w:cs="Arial" w:eastAsia="Arial" w:hAnsi="Arial"/>
          <w:sz w:val="20"/>
          <w:szCs w:val="20"/>
          <w:color w:val="auto"/>
        </w:rPr>
      </w:pPr>
    </w:p>
    <w:p>
      <w:pPr>
        <w:ind w:left="980" w:right="520" w:hanging="490"/>
        <w:spacing w:after="0" w:line="282"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obtain and maintain patient informed consents for participation in our clinical trials; and</w:t>
      </w:r>
    </w:p>
    <w:p>
      <w:pPr>
        <w:spacing w:after="0" w:line="172" w:lineRule="exact"/>
        <w:rPr>
          <w:rFonts w:ascii="Arial" w:cs="Arial" w:eastAsia="Arial" w:hAnsi="Arial"/>
          <w:sz w:val="20"/>
          <w:szCs w:val="20"/>
          <w:color w:val="auto"/>
        </w:rPr>
      </w:pPr>
    </w:p>
    <w:p>
      <w:pPr>
        <w:ind w:left="980" w:right="320" w:hanging="490"/>
        <w:spacing w:after="0" w:line="261" w:lineRule="auto"/>
        <w:tabs>
          <w:tab w:leader="none" w:pos="9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risk that patients enrolled in clinical trials will drop out of the trials before completion or, because they may be late-stage cancer patients, will not survive the full terms of the clinical trials.</w:t>
      </w:r>
    </w:p>
    <w:p>
      <w:pPr>
        <w:spacing w:after="0" w:line="181"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202" w:lineRule="exact"/>
        <w:rPr>
          <w:sz w:val="20"/>
          <w:szCs w:val="20"/>
          <w:color w:val="auto"/>
        </w:rPr>
      </w:pPr>
    </w:p>
    <w:p>
      <w:pPr>
        <w:ind w:right="420" w:firstLine="490"/>
        <w:spacing w:after="0" w:line="261" w:lineRule="auto"/>
        <w:rPr>
          <w:sz w:val="20"/>
          <w:szCs w:val="20"/>
          <w:color w:val="auto"/>
        </w:rPr>
      </w:pPr>
      <w:r>
        <w:rPr>
          <w:rFonts w:ascii="Arial" w:cs="Arial" w:eastAsia="Arial" w:hAnsi="Arial"/>
          <w:sz w:val="20"/>
          <w:szCs w:val="20"/>
          <w:color w:val="auto"/>
        </w:rPr>
        <w:t>Delays of difficulties in patient enrollment may result in increased costs or may affect the timing, outcome or completion of clinical trials, which would adversely affect our ability to advance the development of the product candidates we develop.</w:t>
      </w:r>
    </w:p>
    <w:p>
      <w:pPr>
        <w:spacing w:after="0" w:line="185" w:lineRule="exact"/>
        <w:rPr>
          <w:sz w:val="20"/>
          <w:szCs w:val="20"/>
          <w:color w:val="auto"/>
        </w:rPr>
      </w:pPr>
    </w:p>
    <w:p>
      <w:pPr>
        <w:ind w:right="180"/>
        <w:spacing w:after="0" w:line="286" w:lineRule="auto"/>
        <w:rPr>
          <w:sz w:val="20"/>
          <w:szCs w:val="20"/>
          <w:color w:val="auto"/>
        </w:rPr>
      </w:pPr>
      <w:r>
        <w:rPr>
          <w:rFonts w:ascii="Arial" w:cs="Arial" w:eastAsia="Arial" w:hAnsi="Arial"/>
          <w:sz w:val="20"/>
          <w:szCs w:val="20"/>
          <w:b w:val="1"/>
          <w:bCs w:val="1"/>
          <w:i w:val="1"/>
          <w:iCs w:val="1"/>
          <w:color w:val="auto"/>
        </w:rPr>
        <w:t>Because the number of subjects in our clinical trials are small, the results from these trials, once completed, may be less reliable than results achieved in larger clinical trials.</w:t>
      </w:r>
    </w:p>
    <w:p>
      <w:pPr>
        <w:spacing w:after="0" w:line="146"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A trial design that is considered appropriate includes a sufficiently large sample size with appropriate statistical power, as well as proper control of bias, to allow a meaningful interpretation of the results. The preliminary results of trials with smaller sample sizes and heterogeneous patient populations, can be disproportionately influenced by the impact the treatment had on a few individuals, which limits the ability to generalize the results across a broader community, thus making the trial results less reliable than trials with a larger number of subjects and with more homogeneous patient populations. As a result, there may be less certainty that our product candidates would achieve a statistically significant effect in any future clinical trials. If we conduct any future clinical trials, we may not achieve a statistically significant result or the same level of statistical significance seen, if any, in our clinical trials.</w:t>
      </w:r>
    </w:p>
    <w:p>
      <w:pPr>
        <w:spacing w:after="0" w:line="203" w:lineRule="exact"/>
        <w:rPr>
          <w:sz w:val="20"/>
          <w:szCs w:val="20"/>
          <w:color w:val="auto"/>
        </w:rPr>
      </w:pPr>
    </w:p>
    <w:p>
      <w:pPr>
        <w:jc w:val="both"/>
        <w:ind w:right="480"/>
        <w:spacing w:after="0" w:line="273" w:lineRule="auto"/>
        <w:rPr>
          <w:sz w:val="20"/>
          <w:szCs w:val="20"/>
          <w:color w:val="auto"/>
        </w:rPr>
      </w:pPr>
      <w:r>
        <w:rPr>
          <w:rFonts w:ascii="Arial" w:cs="Arial" w:eastAsia="Arial" w:hAnsi="Arial"/>
          <w:sz w:val="19"/>
          <w:szCs w:val="19"/>
          <w:b w:val="1"/>
          <w:bCs w:val="1"/>
          <w:i w:val="1"/>
          <w:iCs w:val="1"/>
          <w:color w:val="auto"/>
        </w:rPr>
        <w:t>We have chosen to prioritize certain product candidates for development as described in this Annual Report on Form 10-K. We may expend our limited resources on product candidates or indications that do not yield a successful product and fail to capitalize on other candidates or indications for which there may be a greater likelihood of success or may be more profitable</w:t>
      </w:r>
      <w:r>
        <w:rPr>
          <w:rFonts w:ascii="Arial" w:cs="Arial" w:eastAsia="Arial" w:hAnsi="Arial"/>
          <w:sz w:val="19"/>
          <w:szCs w:val="19"/>
          <w:color w:val="auto"/>
        </w:rPr>
        <w:t>.</w:t>
      </w:r>
    </w:p>
    <w:p>
      <w:pPr>
        <w:spacing w:after="0" w:line="161"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Because we have limited resources, we have strategically determined to prioritize development of certain product candidates as described in this Annual Report on Form 10-K, rather than other product candidates. This decision is based, in part, on the significant resources required for developing and manufacturing antibody therapeutics and bispecifics. As a result, we may be foregoing other potentially more profitable antibody therapies or drugs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9360"/>
          </w:cols>
          <w:pgMar w:left="1440" w:top="1000" w:right="1440" w:bottom="161" w:gutter="0" w:footer="0" w:header="0"/>
        </w:sectPr>
      </w:pPr>
    </w:p>
    <w:bookmarkStart w:id="52" w:name="page53"/>
    <w:bookmarkEnd w:id="52"/>
    <w:p>
      <w:pPr>
        <w:ind w:right="100"/>
        <w:spacing w:after="0" w:line="244" w:lineRule="auto"/>
        <w:rPr>
          <w:sz w:val="20"/>
          <w:szCs w:val="20"/>
          <w:color w:val="auto"/>
        </w:rPr>
      </w:pPr>
      <w:r>
        <w:rPr>
          <w:rFonts w:ascii="Arial" w:cs="Arial" w:eastAsia="Arial" w:hAnsi="Arial"/>
          <w:sz w:val="20"/>
          <w:szCs w:val="20"/>
          <w:color w:val="auto"/>
        </w:rPr>
        <w:t>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autoimmunology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202"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b w:val="1"/>
          <w:bCs w:val="1"/>
          <w:i w:val="1"/>
          <w:iCs w:val="1"/>
          <w:color w:val="auto"/>
        </w:rPr>
        <w:t>Our clinical trials may be conducted in overseas jurisdictions, which may subject us to delays and expenses.</w:t>
      </w:r>
    </w:p>
    <w:p>
      <w:pPr>
        <w:spacing w:after="0" w:line="145" w:lineRule="exact"/>
        <w:rPr>
          <w:sz w:val="20"/>
          <w:szCs w:val="20"/>
          <w:color w:val="auto"/>
        </w:rPr>
      </w:pPr>
    </w:p>
    <w:p>
      <w:pPr>
        <w:jc w:val="both"/>
        <w:ind w:right="420" w:firstLine="490"/>
        <w:spacing w:after="0" w:line="260" w:lineRule="auto"/>
        <w:rPr>
          <w:sz w:val="20"/>
          <w:szCs w:val="20"/>
          <w:color w:val="auto"/>
        </w:rPr>
      </w:pPr>
      <w:r>
        <w:rPr>
          <w:rFonts w:ascii="Arial" w:cs="Arial" w:eastAsia="Arial" w:hAnsi="Arial"/>
          <w:sz w:val="20"/>
          <w:szCs w:val="20"/>
          <w:color w:val="auto"/>
        </w:rPr>
        <w:t>We may conduct certain clinical trials in overseas jurisdictions. Regulators in the United States, such as the FDA, or in other foreign jurisdictions, may not support our trial design and protocol, which would delay our clinical development plans and increase our expenses.</w:t>
      </w:r>
    </w:p>
    <w:p>
      <w:pPr>
        <w:spacing w:after="0" w:line="181" w:lineRule="exact"/>
        <w:rPr>
          <w:sz w:val="20"/>
          <w:szCs w:val="20"/>
          <w:color w:val="auto"/>
        </w:rPr>
      </w:pPr>
    </w:p>
    <w:p>
      <w:pPr>
        <w:ind w:right="200" w:firstLine="490"/>
        <w:spacing w:after="0" w:line="282" w:lineRule="auto"/>
        <w:rPr>
          <w:sz w:val="20"/>
          <w:szCs w:val="20"/>
          <w:color w:val="auto"/>
        </w:rPr>
      </w:pPr>
      <w:r>
        <w:rPr>
          <w:rFonts w:ascii="Arial" w:cs="Arial" w:eastAsia="Arial" w:hAnsi="Arial"/>
          <w:sz w:val="20"/>
          <w:szCs w:val="20"/>
          <w:color w:val="auto"/>
        </w:rPr>
        <w:t>In addition, there are risks inherent in conducting clinical trials in overseas jurisdictions, which may subject us to delays and expenses, such as:</w:t>
      </w:r>
    </w:p>
    <w:p>
      <w:pPr>
        <w:spacing w:after="0" w:line="172" w:lineRule="exact"/>
        <w:rPr>
          <w:sz w:val="20"/>
          <w:szCs w:val="20"/>
          <w:color w:val="auto"/>
        </w:rPr>
      </w:pPr>
    </w:p>
    <w:p>
      <w:pPr>
        <w:ind w:left="980" w:right="160" w:hanging="491"/>
        <w:spacing w:after="0" w:line="282"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regulatory and administrative requirements of the jurisdiction where the trial is conducted that could burden or limit our ability to conduct clinical trials;</w:t>
      </w:r>
    </w:p>
    <w:p>
      <w:pPr>
        <w:spacing w:after="0" w:line="172"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differing and conflicting regulatory requirements;</w:t>
      </w:r>
    </w:p>
    <w:p>
      <w:pPr>
        <w:spacing w:after="0" w:line="254"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foreign exchange fluctuations; manufacturing, customs, shipment, and storage requirements;</w:t>
      </w:r>
    </w:p>
    <w:p>
      <w:pPr>
        <w:spacing w:after="0" w:line="252"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cultural differences in medical practice and clinical research; and</w:t>
      </w:r>
    </w:p>
    <w:p>
      <w:pPr>
        <w:spacing w:after="0" w:line="252" w:lineRule="exact"/>
        <w:rPr>
          <w:rFonts w:ascii="Arial" w:cs="Arial" w:eastAsia="Arial" w:hAnsi="Arial"/>
          <w:sz w:val="20"/>
          <w:szCs w:val="20"/>
          <w:color w:val="auto"/>
        </w:rPr>
      </w:pPr>
    </w:p>
    <w:p>
      <w:pPr>
        <w:ind w:left="980" w:right="540" w:hanging="491"/>
        <w:spacing w:after="0" w:line="285"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risk that the patient populations in such trials are not considered representative as compared to the patient population in the target markets where approval is being sought.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Regulatory Approval of Our Product Candidates</w:t>
      </w:r>
    </w:p>
    <w:p>
      <w:pPr>
        <w:spacing w:after="0" w:line="245"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68"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receives regulatory approval of a biologics license application ("BLA"), from the FDA. It is possible that none of our current or future product candidates will ever obtain regulatory approval from the FDA or comparable foreign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9360"/>
          </w:cols>
          <w:pgMar w:left="1440" w:top="988" w:right="1440" w:bottom="161" w:gutter="0" w:footer="0" w:header="0"/>
        </w:sectPr>
      </w:pPr>
    </w:p>
    <w:bookmarkStart w:id="53" w:name="page54"/>
    <w:bookmarkEnd w:id="53"/>
    <w:p>
      <w:pPr>
        <w:ind w:right="800" w:firstLine="490"/>
        <w:spacing w:after="0" w:line="282" w:lineRule="auto"/>
        <w:rPr>
          <w:sz w:val="20"/>
          <w:szCs w:val="20"/>
          <w:color w:val="auto"/>
        </w:rPr>
      </w:pPr>
      <w:r>
        <w:rPr>
          <w:rFonts w:ascii="Arial" w:cs="Arial" w:eastAsia="Arial" w:hAnsi="Arial"/>
          <w:sz w:val="20"/>
          <w:szCs w:val="20"/>
          <w:color w:val="auto"/>
        </w:rPr>
        <w:t>Our current and future product candidates could fail to receive regulatory approval for many reasons, including the following:</w:t>
      </w:r>
    </w:p>
    <w:p>
      <w:pPr>
        <w:spacing w:after="0" w:line="172" w:lineRule="exact"/>
        <w:rPr>
          <w:sz w:val="20"/>
          <w:szCs w:val="20"/>
          <w:color w:val="auto"/>
        </w:rPr>
      </w:pPr>
    </w:p>
    <w:p>
      <w:pPr>
        <w:ind w:left="980" w:right="840" w:hanging="490"/>
        <w:spacing w:after="0" w:line="28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may disagree with the design or implementation of our clinical trials;</w:t>
      </w:r>
    </w:p>
    <w:p>
      <w:pPr>
        <w:spacing w:after="0" w:line="172" w:lineRule="exact"/>
        <w:rPr>
          <w:rFonts w:ascii="Arial" w:cs="Arial" w:eastAsia="Arial" w:hAnsi="Arial"/>
          <w:sz w:val="20"/>
          <w:szCs w:val="20"/>
          <w:color w:val="auto"/>
        </w:rPr>
      </w:pPr>
    </w:p>
    <w:p>
      <w:pPr>
        <w:ind w:left="980" w:right="460" w:hanging="490"/>
        <w:spacing w:after="0" w:line="261"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FDA or comparable foreign regulatory authorities that a product candidate has an acceptable risk-benefit profile in the proposed indication;</w:t>
      </w:r>
    </w:p>
    <w:p>
      <w:pPr>
        <w:spacing w:after="0" w:line="193" w:lineRule="exact"/>
        <w:rPr>
          <w:rFonts w:ascii="Arial" w:cs="Arial" w:eastAsia="Arial" w:hAnsi="Arial"/>
          <w:sz w:val="20"/>
          <w:szCs w:val="20"/>
          <w:color w:val="auto"/>
        </w:rPr>
      </w:pPr>
    </w:p>
    <w:p>
      <w:pPr>
        <w:ind w:left="980" w:right="520" w:hanging="490"/>
        <w:spacing w:after="0" w:line="254"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FDA or comparable foreign regulatory authorities that the facility in which a product candidate is manufactured meets standards designed to assure that the product candidate continues to be safe, pure, and potent;</w:t>
      </w:r>
    </w:p>
    <w:p>
      <w:pPr>
        <w:spacing w:after="0" w:line="200" w:lineRule="exact"/>
        <w:rPr>
          <w:rFonts w:ascii="Arial" w:cs="Arial" w:eastAsia="Arial" w:hAnsi="Arial"/>
          <w:sz w:val="20"/>
          <w:szCs w:val="20"/>
          <w:color w:val="auto"/>
        </w:rPr>
      </w:pPr>
    </w:p>
    <w:p>
      <w:pPr>
        <w:ind w:left="980" w:right="440" w:hanging="490"/>
        <w:spacing w:after="0" w:line="28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results of clinical trials may not meet the level of statistical significance required by the FDA or comparable foreign regulatory authorities for approval;</w:t>
      </w:r>
    </w:p>
    <w:p>
      <w:pPr>
        <w:spacing w:after="0" w:line="172" w:lineRule="exact"/>
        <w:rPr>
          <w:rFonts w:ascii="Arial" w:cs="Arial" w:eastAsia="Arial" w:hAnsi="Arial"/>
          <w:sz w:val="20"/>
          <w:szCs w:val="20"/>
          <w:color w:val="auto"/>
        </w:rPr>
      </w:pPr>
    </w:p>
    <w:p>
      <w:pPr>
        <w:ind w:left="980" w:right="720" w:hanging="490"/>
        <w:spacing w:after="0" w:line="282"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may be unable to demonstrate that a product candidate’s clinical and other benefits outweigh its safety risks;</w:t>
      </w:r>
    </w:p>
    <w:p>
      <w:pPr>
        <w:spacing w:after="0" w:line="172" w:lineRule="exact"/>
        <w:rPr>
          <w:rFonts w:ascii="Arial" w:cs="Arial" w:eastAsia="Arial" w:hAnsi="Arial"/>
          <w:sz w:val="20"/>
          <w:szCs w:val="20"/>
          <w:color w:val="auto"/>
        </w:rPr>
      </w:pPr>
    </w:p>
    <w:p>
      <w:pPr>
        <w:ind w:left="980" w:right="260" w:hanging="490"/>
        <w:spacing w:after="0" w:line="285"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may disagree with our interpretation of data from clinical trials or preclinical studies;</w:t>
      </w:r>
    </w:p>
    <w:p>
      <w:pPr>
        <w:spacing w:after="0" w:line="169" w:lineRule="exact"/>
        <w:rPr>
          <w:rFonts w:ascii="Arial" w:cs="Arial" w:eastAsia="Arial" w:hAnsi="Arial"/>
          <w:sz w:val="20"/>
          <w:szCs w:val="20"/>
          <w:color w:val="auto"/>
        </w:rPr>
      </w:pPr>
    </w:p>
    <w:p>
      <w:pPr>
        <w:ind w:left="980" w:right="80" w:hanging="490"/>
        <w:spacing w:after="0" w:line="261"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data collected from clinical trials of our product candidates may not be sufficient to support the submission of a BLA to the FDA or regulatory submissions to comparable regulatory authorities to obtain regulatory approval in such jurisdiction; and</w:t>
      </w:r>
    </w:p>
    <w:p>
      <w:pPr>
        <w:spacing w:after="0" w:line="193" w:lineRule="exact"/>
        <w:rPr>
          <w:rFonts w:ascii="Arial" w:cs="Arial" w:eastAsia="Arial" w:hAnsi="Arial"/>
          <w:sz w:val="20"/>
          <w:szCs w:val="20"/>
          <w:color w:val="auto"/>
        </w:rPr>
      </w:pPr>
    </w:p>
    <w:p>
      <w:pPr>
        <w:ind w:left="980" w:right="100" w:hanging="490"/>
        <w:spacing w:after="0" w:line="261" w:lineRule="auto"/>
        <w:tabs>
          <w:tab w:leader="none" w:pos="9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81"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194"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w:t>
      </w:r>
    </w:p>
    <w:p>
      <w:pPr>
        <w:spacing w:after="0" w:line="192" w:lineRule="exact"/>
        <w:rPr>
          <w:sz w:val="20"/>
          <w:szCs w:val="20"/>
          <w:color w:val="auto"/>
        </w:rPr>
      </w:pPr>
    </w:p>
    <w:p>
      <w:pPr>
        <w:ind w:right="260" w:firstLine="490"/>
        <w:spacing w:after="0" w:line="247" w:lineRule="auto"/>
        <w:rPr>
          <w:sz w:val="20"/>
          <w:szCs w:val="20"/>
          <w:color w:val="auto"/>
        </w:rPr>
      </w:pPr>
      <w:r>
        <w:rPr>
          <w:rFonts w:ascii="Arial" w:cs="Arial" w:eastAsia="Arial" w:hAnsi="Arial"/>
          <w:sz w:val="20"/>
          <w:szCs w:val="20"/>
          <w:color w:val="auto"/>
        </w:rPr>
        <w:t>In addition, 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196" w:lineRule="exact"/>
        <w:rPr>
          <w:sz w:val="20"/>
          <w:szCs w:val="20"/>
          <w:color w:val="auto"/>
        </w:rPr>
      </w:pPr>
    </w:p>
    <w:p>
      <w:pPr>
        <w:ind w:right="80"/>
        <w:spacing w:after="0" w:line="316" w:lineRule="auto"/>
        <w:rPr>
          <w:sz w:val="20"/>
          <w:szCs w:val="20"/>
          <w:color w:val="auto"/>
        </w:rPr>
      </w:pPr>
      <w:r>
        <w:rPr>
          <w:rFonts w:ascii="Arial" w:cs="Arial" w:eastAsia="Arial" w:hAnsi="Arial"/>
          <w:sz w:val="19"/>
          <w:szCs w:val="19"/>
          <w:b w:val="1"/>
          <w:bCs w:val="1"/>
          <w:i w:val="1"/>
          <w:iCs w:val="1"/>
          <w:color w:val="auto"/>
        </w:rPr>
        <w:t>We may be unable to obtain FDA approval of our product candidates under applicable regulatory requirements. The denial or delay of any such approval would prevent or delay commercialization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9360"/>
          </w:cols>
          <w:pgMar w:left="1440" w:top="988" w:right="1440" w:bottom="161" w:gutter="0" w:footer="0" w:header="0"/>
        </w:sectPr>
      </w:pPr>
    </w:p>
    <w:bookmarkStart w:id="54" w:name="page55"/>
    <w:bookmarkEnd w:id="54"/>
    <w:p>
      <w:pPr>
        <w:ind w:right="220"/>
        <w:spacing w:after="0" w:line="288" w:lineRule="auto"/>
        <w:rPr>
          <w:sz w:val="20"/>
          <w:szCs w:val="20"/>
          <w:color w:val="auto"/>
        </w:rPr>
      </w:pPr>
      <w:r>
        <w:rPr>
          <w:rFonts w:ascii="Arial" w:cs="Arial" w:eastAsia="Arial" w:hAnsi="Arial"/>
          <w:sz w:val="20"/>
          <w:szCs w:val="20"/>
          <w:b w:val="1"/>
          <w:bCs w:val="1"/>
          <w:i w:val="1"/>
          <w:iCs w:val="1"/>
          <w:color w:val="auto"/>
        </w:rPr>
        <w:t>of our product candidates and adversely impact our potential to generate revenue, our business and our results of operations.</w:t>
      </w:r>
    </w:p>
    <w:p>
      <w:pPr>
        <w:spacing w:after="0" w:line="142"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201"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94" w:lineRule="exact"/>
        <w:rPr>
          <w:sz w:val="20"/>
          <w:szCs w:val="20"/>
          <w:color w:val="auto"/>
        </w:rPr>
      </w:pPr>
    </w:p>
    <w:p>
      <w:pPr>
        <w:ind w:right="200" w:firstLine="490"/>
        <w:spacing w:after="0" w:line="250" w:lineRule="auto"/>
        <w:rPr>
          <w:sz w:val="20"/>
          <w:szCs w:val="20"/>
          <w:color w:val="auto"/>
        </w:rPr>
      </w:pPr>
      <w:r>
        <w:rPr>
          <w:rFonts w:ascii="Arial" w:cs="Arial" w:eastAsia="Arial" w:hAnsi="Arial"/>
          <w:sz w:val="20"/>
          <w:szCs w:val="20"/>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pacing w:after="0" w:line="192" w:lineRule="exact"/>
        <w:rPr>
          <w:sz w:val="20"/>
          <w:szCs w:val="20"/>
          <w:color w:val="auto"/>
        </w:rPr>
      </w:pPr>
    </w:p>
    <w:p>
      <w:pPr>
        <w:ind w:right="660" w:firstLine="490"/>
        <w:spacing w:after="0" w:line="280" w:lineRule="auto"/>
        <w:rPr>
          <w:sz w:val="20"/>
          <w:szCs w:val="20"/>
          <w:color w:val="auto"/>
        </w:rPr>
      </w:pPr>
      <w:r>
        <w:rPr>
          <w:rFonts w:ascii="Arial" w:cs="Arial" w:eastAsia="Arial" w:hAnsi="Arial"/>
          <w:sz w:val="20"/>
          <w:szCs w:val="20"/>
          <w:color w:val="auto"/>
        </w:rPr>
        <w:t>The FDA or comparable foreign regulatory authorities can delay, limit or deny approval of our product candidates for many reasons, including:</w:t>
      </w:r>
    </w:p>
    <w:p>
      <w:pPr>
        <w:spacing w:after="0" w:line="174" w:lineRule="exact"/>
        <w:rPr>
          <w:sz w:val="20"/>
          <w:szCs w:val="20"/>
          <w:color w:val="auto"/>
        </w:rPr>
      </w:pPr>
    </w:p>
    <w:p>
      <w:pPr>
        <w:ind w:left="980" w:right="240" w:hanging="491"/>
        <w:spacing w:after="0" w:line="285"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inability to demonstrate to the satisfaction of the FDA or a comparable foreign regulatory authority that our product candidates are safe and effective for the requested indication;</w:t>
      </w:r>
    </w:p>
    <w:p>
      <w:pPr>
        <w:spacing w:after="0" w:line="169" w:lineRule="exact"/>
        <w:rPr>
          <w:rFonts w:ascii="Arial" w:cs="Arial" w:eastAsia="Arial" w:hAnsi="Arial"/>
          <w:sz w:val="20"/>
          <w:szCs w:val="20"/>
          <w:color w:val="auto"/>
        </w:rPr>
      </w:pPr>
    </w:p>
    <w:p>
      <w:pPr>
        <w:ind w:left="980" w:right="180" w:hanging="491"/>
        <w:spacing w:after="0" w:line="282"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a comparable foreign regulatory authority’s disagreement with our trial protocol or the interpretation of data from preclinical studies or clinical trials;</w:t>
      </w:r>
    </w:p>
    <w:p>
      <w:pPr>
        <w:spacing w:after="0" w:line="172" w:lineRule="exact"/>
        <w:rPr>
          <w:rFonts w:ascii="Arial" w:cs="Arial" w:eastAsia="Arial" w:hAnsi="Arial"/>
          <w:sz w:val="20"/>
          <w:szCs w:val="20"/>
          <w:color w:val="auto"/>
        </w:rPr>
      </w:pPr>
    </w:p>
    <w:p>
      <w:pPr>
        <w:ind w:left="980" w:right="640" w:hanging="491"/>
        <w:spacing w:after="0" w:line="282"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inability to demonstrate that the clinical and other benefits of our product candidates outweigh any safety or other perceived risks;</w:t>
      </w:r>
    </w:p>
    <w:p>
      <w:pPr>
        <w:spacing w:after="0" w:line="172" w:lineRule="exact"/>
        <w:rPr>
          <w:rFonts w:ascii="Arial" w:cs="Arial" w:eastAsia="Arial" w:hAnsi="Arial"/>
          <w:sz w:val="20"/>
          <w:szCs w:val="20"/>
          <w:color w:val="auto"/>
        </w:rPr>
      </w:pPr>
    </w:p>
    <w:p>
      <w:pPr>
        <w:ind w:left="980" w:right="300" w:hanging="491"/>
        <w:spacing w:after="0" w:line="285"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a comparable foreign regulatory authority’s requirement for additional preclinical studies or clinical trials;</w:t>
      </w:r>
    </w:p>
    <w:p>
      <w:pPr>
        <w:spacing w:after="0" w:line="169" w:lineRule="exact"/>
        <w:rPr>
          <w:rFonts w:ascii="Arial" w:cs="Arial" w:eastAsia="Arial" w:hAnsi="Arial"/>
          <w:sz w:val="20"/>
          <w:szCs w:val="20"/>
          <w:color w:val="auto"/>
        </w:rPr>
      </w:pPr>
    </w:p>
    <w:p>
      <w:pPr>
        <w:ind w:left="980" w:right="700" w:hanging="491"/>
        <w:spacing w:after="0" w:line="282"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a comparable foreign regulatory authority’s non-approval of the formulation, labeling, or specifications of our product candidates;</w:t>
      </w:r>
    </w:p>
    <w:p>
      <w:pPr>
        <w:spacing w:after="0" w:line="172" w:lineRule="exact"/>
        <w:rPr>
          <w:rFonts w:ascii="Arial" w:cs="Arial" w:eastAsia="Arial" w:hAnsi="Arial"/>
          <w:sz w:val="20"/>
          <w:szCs w:val="20"/>
          <w:color w:val="auto"/>
        </w:rPr>
      </w:pPr>
    </w:p>
    <w:p>
      <w:pPr>
        <w:ind w:left="980" w:right="960" w:hanging="491"/>
        <w:spacing w:after="0" w:line="261"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a comparable regulatory authority’s failure to approve our manufacturing processes and facilities or the manufacturing processes and facilities of third-party manufacturers upon which we rely; or</w:t>
      </w:r>
    </w:p>
    <w:p>
      <w:pPr>
        <w:spacing w:after="0" w:line="193" w:lineRule="exact"/>
        <w:rPr>
          <w:rFonts w:ascii="Arial" w:cs="Arial" w:eastAsia="Arial" w:hAnsi="Arial"/>
          <w:sz w:val="20"/>
          <w:szCs w:val="20"/>
          <w:color w:val="auto"/>
        </w:rPr>
      </w:pPr>
    </w:p>
    <w:p>
      <w:pPr>
        <w:ind w:left="980" w:right="400" w:hanging="491"/>
        <w:spacing w:after="0" w:line="261" w:lineRule="auto"/>
        <w:tabs>
          <w:tab w:leader="none" w:pos="9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potential for approval policies or regulations of the FDA or a comparable foreign regulatory authority to significantly change in a manner rendering our clinical data insufficient for approval.</w:t>
      </w:r>
    </w:p>
    <w:p>
      <w:pPr>
        <w:spacing w:after="0" w:line="181" w:lineRule="exact"/>
        <w:rPr>
          <w:sz w:val="20"/>
          <w:szCs w:val="20"/>
          <w:color w:val="auto"/>
        </w:rPr>
      </w:pPr>
    </w:p>
    <w:p>
      <w:pPr>
        <w:ind w:right="60" w:firstLine="490"/>
        <w:spacing w:after="0" w:line="271" w:lineRule="auto"/>
        <w:rPr>
          <w:sz w:val="20"/>
          <w:szCs w:val="20"/>
          <w:color w:val="auto"/>
        </w:rPr>
      </w:pPr>
      <w:r>
        <w:rPr>
          <w:rFonts w:ascii="Arial" w:cs="Arial" w:eastAsia="Arial" w:hAnsi="Arial"/>
          <w:sz w:val="19"/>
          <w:szCs w:val="19"/>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9360"/>
          </w:cols>
          <w:pgMar w:left="1440" w:top="992" w:right="1440" w:bottom="161" w:gutter="0" w:footer="0" w:header="0"/>
        </w:sectPr>
      </w:pPr>
    </w:p>
    <w:bookmarkStart w:id="55" w:name="page56"/>
    <w:bookmarkEnd w:id="55"/>
    <w:p>
      <w:pPr>
        <w:ind w:right="100"/>
        <w:spacing w:after="0" w:line="253" w:lineRule="auto"/>
        <w:rPr>
          <w:sz w:val="20"/>
          <w:szCs w:val="20"/>
          <w:color w:val="auto"/>
        </w:rPr>
      </w:pPr>
      <w:r>
        <w:rPr>
          <w:rFonts w:ascii="Arial" w:cs="Arial" w:eastAsia="Arial" w:hAnsi="Arial"/>
          <w:sz w:val="20"/>
          <w:szCs w:val="20"/>
          <w:color w:val="auto"/>
        </w:rPr>
        <w:t>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90" w:lineRule="exact"/>
        <w:rPr>
          <w:sz w:val="20"/>
          <w:szCs w:val="20"/>
          <w:color w:val="auto"/>
        </w:rPr>
      </w:pPr>
    </w:p>
    <w:p>
      <w:pPr>
        <w:ind w:right="220" w:firstLine="490"/>
        <w:spacing w:after="0" w:line="254" w:lineRule="auto"/>
        <w:rPr>
          <w:sz w:val="20"/>
          <w:szCs w:val="20"/>
          <w:color w:val="auto"/>
        </w:rPr>
      </w:pPr>
      <w:r>
        <w:rPr>
          <w:rFonts w:ascii="Arial" w:cs="Arial" w:eastAsia="Arial" w:hAnsi="Arial"/>
          <w:sz w:val="20"/>
          <w:szCs w:val="20"/>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90" w:lineRule="exact"/>
        <w:rPr>
          <w:sz w:val="20"/>
          <w:szCs w:val="20"/>
          <w:color w:val="auto"/>
        </w:rPr>
      </w:pPr>
    </w:p>
    <w:p>
      <w:pPr>
        <w:ind w:right="360"/>
        <w:spacing w:after="0" w:line="256" w:lineRule="auto"/>
        <w:rPr>
          <w:sz w:val="20"/>
          <w:szCs w:val="20"/>
          <w:color w:val="auto"/>
        </w:rPr>
      </w:pPr>
      <w:r>
        <w:rPr>
          <w:rFonts w:ascii="Arial" w:cs="Arial" w:eastAsia="Arial" w:hAnsi="Arial"/>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6"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biological products or modifications to approved biological products to be reviewed and/or approved by necessary government agencies, which would adversely affect our business. For example, over the last several years, including for 43 days beginning on October 1, 2025, the U.S. government has shut down several times and certain regulatory agencies, such as the FDA, have had to furlough critical FDA employees and stop critical activities. Currently, federal agencies in the United States are operating under a continuing resolution that is set to expire on September 30, 2026. Without appropriation of additional funding to federal agencies, our business operations related to our product development activities for the U.S. market could be impacted.</w:t>
      </w:r>
    </w:p>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20"/>
          <w:szCs w:val="20"/>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68"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Clinical trials must be conducted in accordance with the FDA’s current good clinical practices requirements ("cGCP"), or analogous requirements of applicable foreign regulatory authorities. Clinical trials are subject to oversight by the FDA, other foreign governmental agencies and IRBs or ethical committees at the trial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206" w:lineRule="exact"/>
        <w:rPr>
          <w:sz w:val="20"/>
          <w:szCs w:val="20"/>
          <w:color w:val="auto"/>
        </w:rPr>
      </w:pPr>
    </w:p>
    <w:p>
      <w:pPr>
        <w:ind w:left="980" w:right="280" w:hanging="491"/>
        <w:spacing w:after="0" w:line="282"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deficiencies in the conduct of the clinical trials, including failure to conduct the clinical trial in accordance with regulatory requirements or trial protocols;</w:t>
      </w:r>
    </w:p>
    <w:p>
      <w:pPr>
        <w:spacing w:after="0" w:line="172"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deficiencies in the clinical trial operations or trial sites;</w:t>
      </w:r>
    </w:p>
    <w:p>
      <w:pPr>
        <w:spacing w:after="0" w:line="252"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unforeseen adverse side effects or the emergence of undue risks to trial subjects;</w:t>
      </w:r>
    </w:p>
    <w:p>
      <w:pPr>
        <w:spacing w:after="0" w:line="254"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deficiencies in the trial design necessary to demonstrate efficacy;</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product candidate may not appear to offer benefits over current therapies; or</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quality or stability of the product candidate may fall below acceptable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9360"/>
          </w:cols>
          <w:pgMar w:left="1440" w:top="988" w:right="1440" w:bottom="161" w:gutter="0" w:footer="0" w:header="0"/>
        </w:sectPr>
      </w:pPr>
    </w:p>
    <w:bookmarkStart w:id="56" w:name="page57"/>
    <w:bookmarkEnd w:id="56"/>
    <w:p>
      <w:pPr>
        <w:jc w:val="both"/>
        <w:ind w:right="100"/>
        <w:spacing w:after="0" w:line="263" w:lineRule="auto"/>
        <w:rPr>
          <w:sz w:val="20"/>
          <w:szCs w:val="20"/>
          <w:color w:val="auto"/>
        </w:rPr>
      </w:pPr>
      <w:r>
        <w:rPr>
          <w:rFonts w:ascii="Arial" w:cs="Arial" w:eastAsia="Arial" w:hAnsi="Arial"/>
          <w:sz w:val="20"/>
          <w:szCs w:val="20"/>
          <w:b w:val="1"/>
          <w:bCs w:val="1"/>
          <w:i w:val="1"/>
          <w:iCs w:val="1"/>
          <w:color w:val="auto"/>
        </w:rPr>
        <w:t>We intend to develop our product candidates in part in combination with other therapies and may develop our future product candidates in combination with other therapies, which exposes us to additional regulatory risks.</w:t>
      </w:r>
    </w:p>
    <w:p>
      <w:pPr>
        <w:spacing w:after="0" w:line="169"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We intend to develop our product candidates in part in combination with other therapies and may develop our current and future product candidates in combination with one or more currently approved cancer therapies. These combinations have not been previously tested in the clinic and may, among other things, fail to demonstrate synergistic activity, may fail to achieve superior outcomes relative to the use of single agents or other combination therapies, or may fail to demonstrate sufficient safety or efficacy traits in clinical trials to enable us to complete those clinical trials or obtain marketing approval for the combination therapy.</w:t>
      </w:r>
    </w:p>
    <w:p>
      <w:pPr>
        <w:spacing w:after="0" w:line="194"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diseases, and we would be subject to similar risks if we develop any of our product candidates for use in combination with other drugs or for indications other than cancer.</w:t>
      </w:r>
    </w:p>
    <w:p>
      <w:pPr>
        <w:spacing w:after="0" w:line="202" w:lineRule="exact"/>
        <w:rPr>
          <w:sz w:val="20"/>
          <w:szCs w:val="20"/>
          <w:color w:val="auto"/>
        </w:rPr>
      </w:pPr>
    </w:p>
    <w:p>
      <w:pPr>
        <w:ind w:right="60" w:firstLine="490"/>
        <w:spacing w:after="0" w:line="272" w:lineRule="auto"/>
        <w:rPr>
          <w:sz w:val="20"/>
          <w:szCs w:val="20"/>
          <w:color w:val="auto"/>
        </w:rPr>
      </w:pPr>
      <w:r>
        <w:rPr>
          <w:rFonts w:ascii="Arial" w:cs="Arial" w:eastAsia="Arial" w:hAnsi="Arial"/>
          <w:sz w:val="19"/>
          <w:szCs w:val="19"/>
          <w:color w:val="auto"/>
        </w:rPr>
        <w:t>We may also evaluate our current or any future product candidate in combination with one or more other cancer therapies that have not yet been approved for marketing by the FDA or comparable foreign regulatory authorities. We will not be able to market and sell any product candidate we develop in combination with any such unapproved cancer therapies that do not ultimately obtain marketing approval.</w:t>
      </w:r>
    </w:p>
    <w:p>
      <w:pPr>
        <w:spacing w:after="0" w:line="171" w:lineRule="exact"/>
        <w:rPr>
          <w:sz w:val="20"/>
          <w:szCs w:val="20"/>
          <w:color w:val="auto"/>
        </w:rPr>
      </w:pPr>
    </w:p>
    <w:p>
      <w:pPr>
        <w:ind w:right="20" w:firstLine="490"/>
        <w:spacing w:after="0" w:line="253" w:lineRule="auto"/>
        <w:rPr>
          <w:sz w:val="20"/>
          <w:szCs w:val="20"/>
          <w:color w:val="auto"/>
        </w:rPr>
      </w:pPr>
      <w:r>
        <w:rPr>
          <w:rFonts w:ascii="Arial" w:cs="Arial" w:eastAsia="Arial" w:hAnsi="Arial"/>
          <w:sz w:val="20"/>
          <w:szCs w:val="20"/>
          <w:color w:val="auto"/>
        </w:rPr>
        <w:t>If the FDA or comparable foreign regulatory authorities do not approve these other biological products or revoke their approval of, or if safety, efficacy, manufacturing or supply issues arise with, the biological products we choose to evaluate in combination with any product candidate we develop, we may be unable to obtain approval of or market any such product candidate.</w:t>
      </w:r>
    </w:p>
    <w:p>
      <w:pPr>
        <w:spacing w:after="0" w:line="194"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i w:val="1"/>
          <w:iCs w:val="1"/>
          <w:color w:val="auto"/>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185" w:lineRule="exact"/>
        <w:rPr>
          <w:sz w:val="20"/>
          <w:szCs w:val="20"/>
          <w:color w:val="auto"/>
        </w:rPr>
      </w:pPr>
    </w:p>
    <w:p>
      <w:pPr>
        <w:ind w:right="40" w:firstLine="490"/>
        <w:spacing w:after="0" w:line="256" w:lineRule="auto"/>
        <w:rPr>
          <w:sz w:val="20"/>
          <w:szCs w:val="20"/>
          <w:color w:val="auto"/>
        </w:rPr>
      </w:pPr>
      <w:r>
        <w:rPr>
          <w:rFonts w:ascii="Arial" w:cs="Arial" w:eastAsia="Arial" w:hAnsi="Arial"/>
          <w:sz w:val="19"/>
          <w:szCs w:val="19"/>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 -market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tracking and tracing, adverse event and deviation reporting, storage, advertising, promotion, import and export and record keeping for the product candidate will be subject to extensive and ongoing regulatory requirements. These requirements include submissions of safety and other post - marketing information and reports, registration, as well as continued compliance with cGMP and cGCP, for any clinical trials that we may conduct post-approval. Additionally, we will be required to build and validate interoperable electronic tracing systems to implement with future trading partners for any product candidates we may commercialize. Later discovery of previously unknown problems with any approved candidate, including adverse events of unanticipated severity or frequency, or with our or our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9360"/>
          </w:cols>
          <w:pgMar w:left="1440" w:top="992" w:right="1440" w:bottom="161" w:gutter="0" w:footer="0" w:header="0"/>
        </w:sectPr>
      </w:pPr>
    </w:p>
    <w:bookmarkStart w:id="57" w:name="page58"/>
    <w:bookmarkEnd w:id="57"/>
    <w:p>
      <w:pPr>
        <w:ind w:right="320"/>
        <w:spacing w:after="0" w:line="282" w:lineRule="auto"/>
        <w:rPr>
          <w:sz w:val="20"/>
          <w:szCs w:val="20"/>
          <w:color w:val="auto"/>
        </w:rPr>
      </w:pPr>
      <w:r>
        <w:rPr>
          <w:rFonts w:ascii="Arial" w:cs="Arial" w:eastAsia="Arial" w:hAnsi="Arial"/>
          <w:sz w:val="20"/>
          <w:szCs w:val="20"/>
          <w:color w:val="auto"/>
        </w:rPr>
        <w:t>manufacturers’ manufacturing processes or facilities, or failure to comply with regulatory requirements, may result in, among other things:</w:t>
      </w:r>
    </w:p>
    <w:p>
      <w:pPr>
        <w:spacing w:after="0" w:line="172" w:lineRule="exact"/>
        <w:rPr>
          <w:sz w:val="20"/>
          <w:szCs w:val="20"/>
          <w:color w:val="auto"/>
        </w:rPr>
      </w:pPr>
    </w:p>
    <w:p>
      <w:pPr>
        <w:ind w:left="980" w:right="160" w:hanging="490"/>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suspension of, or imposition of restrictions on, the marketing or manufacturing of the product, withdrawal of the product from the market, or product recalls;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Warning Letters or Untitled Letters, or holds on clinical trials;</w:t>
      </w:r>
    </w:p>
    <w:p>
      <w:pPr>
        <w:spacing w:after="0" w:line="252" w:lineRule="exact"/>
        <w:rPr>
          <w:rFonts w:ascii="Arial" w:cs="Arial" w:eastAsia="Arial" w:hAnsi="Arial"/>
          <w:sz w:val="20"/>
          <w:szCs w:val="20"/>
          <w:color w:val="auto"/>
        </w:rPr>
      </w:pPr>
    </w:p>
    <w:p>
      <w:pPr>
        <w:ind w:left="980" w:right="200" w:hanging="490"/>
        <w:spacing w:after="0" w:line="285"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refusal by the FDA to approve pending applications or supplements to approved applications we file, or suspension or revocation of approved biologics licenses;</w:t>
      </w:r>
    </w:p>
    <w:p>
      <w:pPr>
        <w:spacing w:after="0" w:line="169" w:lineRule="exact"/>
        <w:rPr>
          <w:rFonts w:ascii="Arial" w:cs="Arial" w:eastAsia="Arial" w:hAnsi="Arial"/>
          <w:sz w:val="20"/>
          <w:szCs w:val="20"/>
          <w:color w:val="auto"/>
        </w:rPr>
      </w:pPr>
    </w:p>
    <w:p>
      <w:pPr>
        <w:ind w:left="980" w:right="220" w:hanging="490"/>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product seizure or detention, monetary penalties, refusal to permit the import or export of the product, or placement on Import Alert; and</w:t>
      </w:r>
    </w:p>
    <w:p>
      <w:pPr>
        <w:spacing w:after="0" w:line="172" w:lineRule="exact"/>
        <w:rPr>
          <w:rFonts w:ascii="Arial" w:cs="Arial" w:eastAsia="Arial" w:hAnsi="Arial"/>
          <w:sz w:val="20"/>
          <w:szCs w:val="20"/>
          <w:color w:val="auto"/>
        </w:rPr>
      </w:pPr>
    </w:p>
    <w:p>
      <w:pPr>
        <w:ind w:left="980" w:right="800" w:hanging="490"/>
        <w:spacing w:after="0" w:line="282"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permanent injunctions and consent decrees including the imposition of civil or criminal penalties.</w:t>
      </w:r>
    </w:p>
    <w:p>
      <w:pPr>
        <w:spacing w:after="0" w:line="160"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Given the nature of biological products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202"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 In the current administration, the FDA has increased its enforcement scrutiny over prescription drug advertising, particularly direct-to-consumer product promotion and advertising.</w:t>
      </w:r>
    </w:p>
    <w:p>
      <w:pPr>
        <w:spacing w:after="0" w:line="202" w:lineRule="exact"/>
        <w:rPr>
          <w:sz w:val="20"/>
          <w:szCs w:val="20"/>
          <w:color w:val="auto"/>
        </w:rPr>
      </w:pPr>
    </w:p>
    <w:p>
      <w:pPr>
        <w:ind w:right="100" w:firstLine="490"/>
        <w:spacing w:after="0" w:line="247" w:lineRule="auto"/>
        <w:rPr>
          <w:sz w:val="20"/>
          <w:szCs w:val="20"/>
          <w:color w:val="auto"/>
        </w:rPr>
      </w:pPr>
      <w:r>
        <w:rPr>
          <w:rFonts w:ascii="Arial" w:cs="Arial" w:eastAsia="Arial" w:hAnsi="Arial"/>
          <w:sz w:val="20"/>
          <w:szCs w:val="20"/>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4" w:lineRule="exact"/>
        <w:rPr>
          <w:sz w:val="20"/>
          <w:szCs w:val="20"/>
          <w:color w:val="auto"/>
        </w:rPr>
      </w:pPr>
    </w:p>
    <w:p>
      <w:pPr>
        <w:ind w:right="60" w:firstLine="490"/>
        <w:spacing w:after="0" w:line="251" w:lineRule="auto"/>
        <w:rPr>
          <w:sz w:val="20"/>
          <w:szCs w:val="20"/>
          <w:color w:val="auto"/>
        </w:rPr>
      </w:pPr>
      <w:r>
        <w:rPr>
          <w:rFonts w:ascii="Arial" w:cs="Arial" w:eastAsia="Arial" w:hAnsi="Arial"/>
          <w:sz w:val="20"/>
          <w:szCs w:val="20"/>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right="140" w:firstLine="490"/>
        <w:spacing w:after="0" w:line="261" w:lineRule="auto"/>
        <w:rPr>
          <w:sz w:val="20"/>
          <w:szCs w:val="20"/>
          <w:color w:val="auto"/>
        </w:rPr>
      </w:pPr>
      <w:r>
        <w:rPr>
          <w:rFonts w:ascii="Arial" w:cs="Arial" w:eastAsia="Arial" w:hAnsi="Arial"/>
          <w:sz w:val="20"/>
          <w:szCs w:val="20"/>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9360"/>
          </w:cols>
          <w:pgMar w:left="1440" w:top="988" w:right="1440" w:bottom="161" w:gutter="0" w:footer="0" w:header="0"/>
        </w:sectPr>
      </w:pPr>
    </w:p>
    <w:bookmarkStart w:id="58" w:name="page59"/>
    <w:bookmarkEnd w:id="58"/>
    <w:p>
      <w:pPr>
        <w:ind w:right="120"/>
        <w:spacing w:after="0" w:line="263" w:lineRule="auto"/>
        <w:rPr>
          <w:sz w:val="20"/>
          <w:szCs w:val="20"/>
          <w:color w:val="auto"/>
        </w:rPr>
      </w:pPr>
      <w:r>
        <w:rPr>
          <w:rFonts w:ascii="Arial" w:cs="Arial" w:eastAsia="Arial" w:hAnsi="Arial"/>
          <w:sz w:val="20"/>
          <w:szCs w:val="20"/>
          <w:b w:val="1"/>
          <w:bCs w:val="1"/>
          <w:i w:val="1"/>
          <w:iCs w:val="1"/>
          <w:color w:val="auto"/>
        </w:rPr>
        <w:t>Accelerated approval by the FDA, even if granted for any of our product candidates, may not lead to a faster development or regulatory review or approval process and it does not increase the likelihood that our product candidates will receive regulatory approval.</w:t>
      </w:r>
    </w:p>
    <w:p>
      <w:pPr>
        <w:spacing w:after="0" w:line="169" w:lineRule="exact"/>
        <w:rPr>
          <w:sz w:val="20"/>
          <w:szCs w:val="20"/>
          <w:color w:val="auto"/>
        </w:rPr>
      </w:pPr>
    </w:p>
    <w:p>
      <w:pPr>
        <w:ind w:right="20" w:firstLine="490"/>
        <w:spacing w:after="0" w:line="241" w:lineRule="auto"/>
        <w:rPr>
          <w:sz w:val="20"/>
          <w:szCs w:val="20"/>
          <w:color w:val="auto"/>
        </w:rPr>
      </w:pPr>
      <w:r>
        <w:rPr>
          <w:rFonts w:ascii="Arial" w:cs="Arial" w:eastAsia="Arial" w:hAnsi="Arial"/>
          <w:sz w:val="20"/>
          <w:szCs w:val="20"/>
          <w:color w:val="auto"/>
        </w:rPr>
        <w:t>We may seek accelerated approval of our current or future product candidates using the FDA’s accelerated approval pathway. A product may be eligible for accelerated approval if it treats a serious or life-threatening condition. In addition, it must demonstrate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requires that a sponsor of a drug or biologic receiving accelerated approval perform adequate and well-controlled post- marketing confirmatory clinical trials. These confirmatory trials must be completed with due diligence. FDA must specify the conditions for any post-approval trials by the date of accelerated approval and the agency has flexibility in setting forth such conditions, which may include enrollment targets, clinical trial protocol and milestones – including the target date of trial completion. The FDA may also require, as appropriate, that certain confirmatory trials be underway prior to accelerated approval or within a specified time from the date of approval. Accelerated approval sponsors must submit progress reports every six months on required post-approval trials.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the FDORA, the FDA is empowered to take action, such as issuing fines, against companies that fail to conduct with due diligence any post-marketing confirmatory trial or submit timely reports to the agency on their progress. In addition, the FDA currently requires, unless otherwise informed by the agency, as a condition for accelerated approval pre-approval of promotional materials for products being considered for accelerated approval, unless otherwise informed by the FDA, which could adversely impact the timing of the commercial launch of the product. Even if we do receive accelerated approval, we may not experience a faster development, regulatory review or approval process, and receiving accelerated approval does not assure that the product’s accelerated approval will eventually be converted to a traditional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the Commercialization of Our Product Candidates</w:t>
      </w:r>
    </w:p>
    <w:p>
      <w:pPr>
        <w:spacing w:after="0" w:line="247" w:lineRule="exact"/>
        <w:rPr>
          <w:sz w:val="20"/>
          <w:szCs w:val="20"/>
          <w:color w:val="auto"/>
        </w:rPr>
      </w:pPr>
    </w:p>
    <w:p>
      <w:pPr>
        <w:ind w:right="300"/>
        <w:spacing w:after="0" w:line="263" w:lineRule="auto"/>
        <w:rPr>
          <w:sz w:val="20"/>
          <w:szCs w:val="20"/>
          <w:color w:val="auto"/>
        </w:rPr>
      </w:pPr>
      <w:r>
        <w:rPr>
          <w:rFonts w:ascii="Arial" w:cs="Arial" w:eastAsia="Arial" w:hAnsi="Arial"/>
          <w:sz w:val="20"/>
          <w:szCs w:val="20"/>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69"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antibody therapeutics,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Furthermore, to date, only a few bispecific products have received marketing approval and only a few have advanced to late-stage clinical development. Future adverse events in immuno-oncology or the biopharmaceutical industry could also result in greater governmental regulation, stricter labeling requirements and potential regulatory delays in the testing or approvals of our products. Similarly, the use of agonist antibodies for the treatment of autoimmune diseases is novel and there can be no assurance that our product candidates for the treatment of autoimmune diseases, if approved, would gain sufficient market acceptance by physicians, patients, third-party payors, and others in the medical community.</w:t>
      </w:r>
    </w:p>
    <w:p>
      <w:pPr>
        <w:spacing w:after="0" w:line="208" w:lineRule="exact"/>
        <w:rPr>
          <w:sz w:val="20"/>
          <w:szCs w:val="20"/>
          <w:color w:val="auto"/>
        </w:rPr>
      </w:pPr>
    </w:p>
    <w:p>
      <w:pPr>
        <w:ind w:right="240" w:firstLine="490"/>
        <w:spacing w:after="0" w:line="282" w:lineRule="auto"/>
        <w:rPr>
          <w:sz w:val="20"/>
          <w:szCs w:val="20"/>
          <w:color w:val="auto"/>
        </w:rPr>
      </w:pPr>
      <w:r>
        <w:rPr>
          <w:rFonts w:ascii="Arial" w:cs="Arial" w:eastAsia="Arial" w:hAnsi="Arial"/>
          <w:sz w:val="20"/>
          <w:szCs w:val="20"/>
          <w:color w:val="auto"/>
        </w:rPr>
        <w:t>If our current and any future product candidates we develop do not achieve an adequate level of acceptance, we may not generate significant product revenues and we may not become profitable.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9360"/>
          </w:cols>
          <w:pgMar w:left="1440" w:top="992" w:right="1440" w:bottom="161" w:gutter="0" w:footer="0" w:header="0"/>
        </w:sectPr>
      </w:pPr>
    </w:p>
    <w:bookmarkStart w:id="59" w:name="page60"/>
    <w:bookmarkEnd w:id="59"/>
    <w:p>
      <w:pPr>
        <w:ind w:right="1060"/>
        <w:spacing w:after="0" w:line="282" w:lineRule="auto"/>
        <w:rPr>
          <w:sz w:val="20"/>
          <w:szCs w:val="20"/>
          <w:color w:val="auto"/>
        </w:rPr>
      </w:pPr>
      <w:r>
        <w:rPr>
          <w:rFonts w:ascii="Arial" w:cs="Arial" w:eastAsia="Arial" w:hAnsi="Arial"/>
          <w:sz w:val="20"/>
          <w:szCs w:val="20"/>
          <w:color w:val="auto"/>
        </w:rPr>
        <w:t>degree of market acceptance of our current and any future product candidates, if approved for commercial sale, will depend on a number of factors, including:</w:t>
      </w:r>
    </w:p>
    <w:p>
      <w:pPr>
        <w:spacing w:after="0" w:line="172" w:lineRule="exact"/>
        <w:rPr>
          <w:sz w:val="20"/>
          <w:szCs w:val="20"/>
          <w:color w:val="auto"/>
        </w:rPr>
      </w:pPr>
    </w:p>
    <w:p>
      <w:pPr>
        <w:ind w:left="980" w:right="100" w:hanging="490"/>
        <w:spacing w:after="0" w:line="282"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efficacy and potential advantages compared to alternative treatments, including those that are not yet approved;</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ability to offer our products, if approved, for sale at competitive prices;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convenience and ease of administration compared to alternative treatments;</w:t>
      </w:r>
    </w:p>
    <w:p>
      <w:pPr>
        <w:spacing w:after="0" w:line="254" w:lineRule="exact"/>
        <w:rPr>
          <w:rFonts w:ascii="Arial" w:cs="Arial" w:eastAsia="Arial" w:hAnsi="Arial"/>
          <w:sz w:val="20"/>
          <w:szCs w:val="20"/>
          <w:color w:val="auto"/>
        </w:rPr>
      </w:pPr>
    </w:p>
    <w:p>
      <w:pPr>
        <w:ind w:left="980" w:right="700" w:hanging="490"/>
        <w:spacing w:after="0" w:line="282"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therapies and of physicians to prescribe these therapies;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strength of marketing, sales and distribution support;</w:t>
      </w:r>
    </w:p>
    <w:p>
      <w:pPr>
        <w:spacing w:after="0" w:line="254" w:lineRule="exact"/>
        <w:rPr>
          <w:rFonts w:ascii="Arial" w:cs="Arial" w:eastAsia="Arial" w:hAnsi="Arial"/>
          <w:sz w:val="20"/>
          <w:szCs w:val="20"/>
          <w:color w:val="auto"/>
        </w:rPr>
      </w:pPr>
    </w:p>
    <w:p>
      <w:pPr>
        <w:ind w:left="980" w:right="60" w:hanging="490"/>
        <w:spacing w:after="0" w:line="282"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ability to obtain sufficient third-party coverage and adequate reimbursement, including with respect to the use of the approved product as a combination therapy; and</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prevalence and severity of any side effects.</w:t>
      </w:r>
    </w:p>
    <w:p>
      <w:pPr>
        <w:spacing w:after="0" w:line="244" w:lineRule="exact"/>
        <w:rPr>
          <w:sz w:val="20"/>
          <w:szCs w:val="20"/>
          <w:color w:val="auto"/>
        </w:rPr>
      </w:pPr>
    </w:p>
    <w:p>
      <w:pPr>
        <w:jc w:val="both"/>
        <w:ind w:right="440"/>
        <w:spacing w:after="0" w:line="264" w:lineRule="auto"/>
        <w:rPr>
          <w:sz w:val="20"/>
          <w:szCs w:val="20"/>
          <w:color w:val="auto"/>
        </w:rPr>
      </w:pPr>
      <w:r>
        <w:rPr>
          <w:rFonts w:ascii="Arial" w:cs="Arial" w:eastAsia="Arial" w:hAnsi="Arial"/>
          <w:sz w:val="20"/>
          <w:szCs w:val="20"/>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68"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92"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auto"/>
        </w:rPr>
        <w:t>Cancer therapies are sometimes characterized as first -line, second- line or third- 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The number of patients who receive second- and third-line treatment is significantly smaller than the number of patients who receive first-line treatment, and the prognosis of patients who receive second- or third-line treatment is often poorer than that of patients who receive first-line treatment.</w:t>
      </w:r>
    </w:p>
    <w:p>
      <w:pPr>
        <w:spacing w:after="0" w:line="201" w:lineRule="exact"/>
        <w:rPr>
          <w:sz w:val="20"/>
          <w:szCs w:val="20"/>
          <w:color w:val="auto"/>
        </w:rPr>
      </w:pPr>
    </w:p>
    <w:p>
      <w:pPr>
        <w:ind w:right="100" w:firstLine="490"/>
        <w:spacing w:after="0" w:line="251" w:lineRule="auto"/>
        <w:rPr>
          <w:sz w:val="20"/>
          <w:szCs w:val="20"/>
          <w:color w:val="auto"/>
        </w:rPr>
      </w:pPr>
      <w:r>
        <w:rPr>
          <w:rFonts w:ascii="Arial" w:cs="Arial" w:eastAsia="Arial" w:hAnsi="Arial"/>
          <w:sz w:val="20"/>
          <w:szCs w:val="20"/>
          <w:color w:val="auto"/>
        </w:rPr>
        <w:t>We may initially seek approval for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87" w:lineRule="exact"/>
        <w:rPr>
          <w:sz w:val="20"/>
          <w:szCs w:val="20"/>
          <w:color w:val="auto"/>
        </w:rPr>
      </w:pPr>
    </w:p>
    <w:p>
      <w:pPr>
        <w:ind w:right="20" w:firstLine="490"/>
        <w:spacing w:after="0" w:line="248" w:lineRule="auto"/>
        <w:rPr>
          <w:sz w:val="20"/>
          <w:szCs w:val="20"/>
          <w:color w:val="auto"/>
        </w:rPr>
      </w:pPr>
      <w:r>
        <w:rPr>
          <w:rFonts w:ascii="Arial" w:cs="Arial" w:eastAsia="Arial" w:hAnsi="Arial"/>
          <w:sz w:val="20"/>
          <w:szCs w:val="20"/>
          <w:color w:val="auto"/>
        </w:rPr>
        <w:t>The number of patients who have the types of cancer or autoimmune diseases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68" w:lineRule="exact"/>
        <w:rPr>
          <w:sz w:val="20"/>
          <w:szCs w:val="20"/>
          <w:color w:val="auto"/>
        </w:rPr>
      </w:pPr>
    </w:p>
    <w:p>
      <w:pPr>
        <w:ind w:right="180" w:firstLine="490"/>
        <w:spacing w:after="0" w:line="310" w:lineRule="auto"/>
        <w:rPr>
          <w:sz w:val="20"/>
          <w:szCs w:val="20"/>
          <w:color w:val="auto"/>
        </w:rPr>
      </w:pPr>
      <w:r>
        <w:rPr>
          <w:rFonts w:ascii="Arial" w:cs="Arial" w:eastAsia="Arial" w:hAnsi="Arial"/>
          <w:sz w:val="19"/>
          <w:szCs w:val="19"/>
          <w:color w:val="auto"/>
        </w:rPr>
        <w:t>Obtaining and maintaining marketing approval of our current and future product candidates in one jurisdiction does not guarantee that we will be able to obtain or maintain marketing approval in any other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9360"/>
          </w:cols>
          <w:pgMar w:left="1440" w:top="988" w:right="1440" w:bottom="161" w:gutter="0" w:footer="0" w:header="0"/>
        </w:sectPr>
      </w:pPr>
    </w:p>
    <w:bookmarkStart w:id="60" w:name="page61"/>
    <w:bookmarkEnd w:id="60"/>
    <w:p>
      <w:pPr>
        <w:ind w:right="40"/>
        <w:spacing w:after="0" w:line="244" w:lineRule="auto"/>
        <w:rPr>
          <w:sz w:val="20"/>
          <w:szCs w:val="20"/>
          <w:color w:val="auto"/>
        </w:rPr>
      </w:pPr>
      <w:r>
        <w:rPr>
          <w:rFonts w:ascii="Arial" w:cs="Arial" w:eastAsia="Arial" w:hAnsi="Arial"/>
          <w:sz w:val="20"/>
          <w:szCs w:val="20"/>
          <w:color w:val="auto"/>
        </w:rPr>
        <w:t>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2" w:lineRule="exact"/>
        <w:rPr>
          <w:sz w:val="20"/>
          <w:szCs w:val="20"/>
          <w:color w:val="auto"/>
        </w:rPr>
      </w:pPr>
    </w:p>
    <w:p>
      <w:pPr>
        <w:ind w:right="80" w:firstLine="490"/>
        <w:spacing w:after="0" w:line="246" w:lineRule="auto"/>
        <w:rPr>
          <w:sz w:val="20"/>
          <w:szCs w:val="20"/>
          <w:color w:val="auto"/>
        </w:rPr>
      </w:pPr>
      <w:r>
        <w:rPr>
          <w:rFonts w:ascii="Arial" w:cs="Arial" w:eastAsia="Arial" w:hAnsi="Arial"/>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99" w:lineRule="exact"/>
        <w:rPr>
          <w:sz w:val="20"/>
          <w:szCs w:val="20"/>
          <w:color w:val="auto"/>
        </w:rPr>
      </w:pPr>
    </w:p>
    <w:p>
      <w:pPr>
        <w:ind w:right="440"/>
        <w:spacing w:after="0" w:line="263" w:lineRule="auto"/>
        <w:rPr>
          <w:sz w:val="20"/>
          <w:szCs w:val="20"/>
          <w:color w:val="auto"/>
        </w:rPr>
      </w:pPr>
      <w:r>
        <w:rPr>
          <w:rFonts w:ascii="Arial" w:cs="Arial" w:eastAsia="Arial" w:hAnsi="Arial"/>
          <w:sz w:val="20"/>
          <w:szCs w:val="20"/>
          <w:b w:val="1"/>
          <w:bCs w:val="1"/>
          <w:i w:val="1"/>
          <w:iCs w:val="1"/>
          <w:color w:val="auto"/>
        </w:rPr>
        <w:t>If we are unable to establish marketing, sales and distribution capabilities for any product candidate that may receive regulatory approval, we may not be successful in commercializing those product candidates if and when they are approved.</w:t>
      </w:r>
    </w:p>
    <w:p>
      <w:pPr>
        <w:spacing w:after="0" w:line="169" w:lineRule="exact"/>
        <w:rPr>
          <w:sz w:val="20"/>
          <w:szCs w:val="20"/>
          <w:color w:val="auto"/>
        </w:rPr>
      </w:pPr>
    </w:p>
    <w:p>
      <w:pPr>
        <w:ind w:right="220" w:firstLine="490"/>
        <w:spacing w:after="0" w:line="244" w:lineRule="auto"/>
        <w:rPr>
          <w:sz w:val="20"/>
          <w:szCs w:val="20"/>
          <w:color w:val="auto"/>
        </w:rPr>
      </w:pPr>
      <w:r>
        <w:rPr>
          <w:rFonts w:ascii="Arial" w:cs="Arial" w:eastAsia="Arial" w:hAnsi="Arial"/>
          <w:sz w:val="20"/>
          <w:szCs w:val="20"/>
          <w:color w:val="auto"/>
        </w:rPr>
        <w:t>We do not have sales or marketing infrastructure. To achieve commercial success for any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Factors that may inhibit our efforts to market our products on our own include:</w:t>
      </w:r>
    </w:p>
    <w:p>
      <w:pPr>
        <w:spacing w:after="0" w:line="252" w:lineRule="exact"/>
        <w:rPr>
          <w:sz w:val="20"/>
          <w:szCs w:val="20"/>
          <w:color w:val="auto"/>
        </w:rPr>
      </w:pPr>
    </w:p>
    <w:p>
      <w:pPr>
        <w:ind w:left="980" w:right="500" w:hanging="490"/>
        <w:spacing w:after="0" w:line="285"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inability to recruit, train and retain adequate numbers of effective sales and marketing personnel;</w:t>
      </w:r>
    </w:p>
    <w:p>
      <w:pPr>
        <w:spacing w:after="0" w:line="169" w:lineRule="exact"/>
        <w:rPr>
          <w:rFonts w:ascii="Arial" w:cs="Arial" w:eastAsia="Arial" w:hAnsi="Arial"/>
          <w:sz w:val="20"/>
          <w:szCs w:val="20"/>
          <w:color w:val="auto"/>
        </w:rPr>
      </w:pPr>
    </w:p>
    <w:p>
      <w:pPr>
        <w:ind w:left="980" w:right="280" w:hanging="490"/>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inability of sales personnel to obtain access to physicians in order to educate physicians about our product candidates, once approved;</w:t>
      </w:r>
    </w:p>
    <w:p>
      <w:pPr>
        <w:spacing w:after="0" w:line="172" w:lineRule="exact"/>
        <w:rPr>
          <w:rFonts w:ascii="Arial" w:cs="Arial" w:eastAsia="Arial" w:hAnsi="Arial"/>
          <w:sz w:val="20"/>
          <w:szCs w:val="20"/>
          <w:color w:val="auto"/>
        </w:rPr>
      </w:pPr>
    </w:p>
    <w:p>
      <w:pPr>
        <w:ind w:left="980" w:right="280" w:hanging="490"/>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lack of complementary products to be offered by sales personnel, which may put us at a competitive disadvantage relative to companies with more extensive product lines; and</w:t>
      </w:r>
    </w:p>
    <w:p>
      <w:pPr>
        <w:spacing w:after="0" w:line="172" w:lineRule="exact"/>
        <w:rPr>
          <w:rFonts w:ascii="Arial" w:cs="Arial" w:eastAsia="Arial" w:hAnsi="Arial"/>
          <w:sz w:val="20"/>
          <w:szCs w:val="20"/>
          <w:color w:val="auto"/>
        </w:rPr>
      </w:pPr>
    </w:p>
    <w:p>
      <w:pPr>
        <w:ind w:left="980" w:right="80" w:hanging="490"/>
        <w:spacing w:after="0" w:line="282" w:lineRule="auto"/>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unforeseen costs and expenses associated with creating an independent sales and marketing organization.</w:t>
      </w:r>
    </w:p>
    <w:p>
      <w:pPr>
        <w:spacing w:after="0" w:line="160"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9360"/>
          </w:cols>
          <w:pgMar w:left="1440" w:top="988" w:right="1440" w:bottom="161"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u w:val="single" w:color="auto"/>
          <w:color w:val="auto"/>
        </w:rPr>
        <w:t>Risks Related to Healthcare, Insurance and Legal Matters</w:t>
      </w:r>
    </w:p>
    <w:p>
      <w:pPr>
        <w:spacing w:after="0" w:line="248" w:lineRule="exact"/>
        <w:rPr>
          <w:sz w:val="20"/>
          <w:szCs w:val="20"/>
          <w:color w:val="auto"/>
        </w:rPr>
      </w:pPr>
    </w:p>
    <w:p>
      <w:pPr>
        <w:ind w:right="540"/>
        <w:spacing w:after="0" w:line="286" w:lineRule="auto"/>
        <w:rPr>
          <w:sz w:val="20"/>
          <w:szCs w:val="20"/>
          <w:color w:val="auto"/>
        </w:rPr>
      </w:pPr>
      <w:r>
        <w:rPr>
          <w:rFonts w:ascii="Arial" w:cs="Arial" w:eastAsia="Arial" w:hAnsi="Arial"/>
          <w:sz w:val="20"/>
          <w:szCs w:val="20"/>
          <w:b w:val="1"/>
          <w:bCs w:val="1"/>
          <w:i w:val="1"/>
          <w:iCs w:val="1"/>
          <w:color w:val="auto"/>
        </w:rPr>
        <w:t>Product liability lawsuits against us could cause us to incur substantial liabilities and to limit commercialization of our product candidates.</w:t>
      </w:r>
    </w:p>
    <w:p>
      <w:pPr>
        <w:spacing w:after="0" w:line="146"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207" w:lineRule="exact"/>
        <w:rPr>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decreased demand for any product candidate we may develop;</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withdrawal of trial participants;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termination of clinical trial sites or entire trial programs;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injury to our reputation and significant negative media attention;</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significant time and costs to defend the related litigation;</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substantial monetary awards to trial subjects or patients;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diversion of management and scientific resources from our business operations; and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inability to commercialize any product candidates that we may develop.</w:t>
      </w:r>
    </w:p>
    <w:p>
      <w:pPr>
        <w:spacing w:after="0" w:line="240" w:lineRule="exact"/>
        <w:rPr>
          <w:sz w:val="20"/>
          <w:szCs w:val="20"/>
          <w:color w:val="auto"/>
        </w:rPr>
      </w:pPr>
    </w:p>
    <w:p>
      <w:pPr>
        <w:ind w:right="40" w:firstLine="490"/>
        <w:spacing w:after="0" w:line="246" w:lineRule="auto"/>
        <w:rPr>
          <w:sz w:val="20"/>
          <w:szCs w:val="20"/>
          <w:color w:val="auto"/>
        </w:rPr>
      </w:pPr>
      <w:r>
        <w:rPr>
          <w:rFonts w:ascii="Arial" w:cs="Arial" w:eastAsia="Arial" w:hAnsi="Arial"/>
          <w:sz w:val="20"/>
          <w:szCs w:val="20"/>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85"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The availability of coverage and adequacy of reimbursement by third-party payors, including government healthcare programs (e.g., Medicare, Medicaid),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 The availability of coverage and extent of reimbursement by governmental and other third-party payors is essential for most patients to be able to afford treatments such as antibody-based therapies. In the United States, the principal decisions about reimbursement for new medicines are typically made by the Centers for Medicare &amp; Medicaid Services ("CMS"), an agency within the U.S. Department of Health and Human Services ("HHS"). CMS decides whether and to what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9360"/>
          </w:cols>
          <w:pgMar w:left="1440" w:top="984" w:right="1440" w:bottom="161" w:gutter="0" w:footer="0" w:header="0"/>
        </w:sectPr>
      </w:pPr>
    </w:p>
    <w:bookmarkStart w:id="62" w:name="page63"/>
    <w:bookmarkEnd w:id="62"/>
    <w:p>
      <w:pPr>
        <w:ind w:right="440"/>
        <w:spacing w:after="0" w:line="260" w:lineRule="auto"/>
        <w:rPr>
          <w:sz w:val="20"/>
          <w:szCs w:val="20"/>
          <w:color w:val="auto"/>
        </w:rPr>
      </w:pPr>
      <w:r>
        <w:rPr>
          <w:rFonts w:ascii="Arial" w:cs="Arial" w:eastAsia="Arial" w:hAnsi="Arial"/>
          <w:sz w:val="20"/>
          <w:szCs w:val="20"/>
          <w:color w:val="auto"/>
        </w:rPr>
        <w:t>extent our products will be covered and reimbursed under Medicare and private payors tend to follow CMS to a substantial degree. See the section entitled, “Business — Government Regulation — Pharmaceutical Coverage, Pricing and Reimbursement”.</w:t>
      </w:r>
    </w:p>
    <w:p>
      <w:pPr>
        <w:spacing w:after="0" w:line="181" w:lineRule="exact"/>
        <w:rPr>
          <w:sz w:val="20"/>
          <w:szCs w:val="20"/>
          <w:color w:val="auto"/>
        </w:rPr>
      </w:pPr>
    </w:p>
    <w:p>
      <w:pPr>
        <w:ind w:right="280" w:firstLine="490"/>
        <w:spacing w:after="0" w:line="247" w:lineRule="auto"/>
        <w:rPr>
          <w:sz w:val="20"/>
          <w:szCs w:val="20"/>
          <w:color w:val="auto"/>
        </w:rPr>
      </w:pPr>
      <w:r>
        <w:rPr>
          <w:rFonts w:ascii="Arial" w:cs="Arial" w:eastAsia="Arial" w:hAnsi="Arial"/>
          <w:sz w:val="20"/>
          <w:szCs w:val="20"/>
          <w:color w:val="auto"/>
        </w:rPr>
        <w:t>Our ability to successfully commercialize our product candidates, whether as a single agent or combination therapy, will depend in part on the extent to which coverage and adequate reimbursement for our products and related treatments will be available from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94" w:lineRule="exact"/>
        <w:rPr>
          <w:sz w:val="20"/>
          <w:szCs w:val="20"/>
          <w:color w:val="auto"/>
        </w:rPr>
      </w:pPr>
    </w:p>
    <w:p>
      <w:pPr>
        <w:ind w:right="80" w:firstLine="489"/>
        <w:spacing w:after="0" w:line="244" w:lineRule="auto"/>
        <w:rPr>
          <w:sz w:val="20"/>
          <w:szCs w:val="20"/>
          <w:color w:val="auto"/>
        </w:rPr>
      </w:pPr>
      <w:r>
        <w:rPr>
          <w:rFonts w:ascii="Arial" w:cs="Arial" w:eastAsia="Arial" w:hAnsi="Arial"/>
          <w:sz w:val="20"/>
          <w:szCs w:val="20"/>
          <w:color w:val="auto"/>
        </w:rPr>
        <w:t>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 Further,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w:t>
      </w:r>
    </w:p>
    <w:p>
      <w:pPr>
        <w:spacing w:after="0" w:line="198"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utilization once the product is approved and have a material adverse effect on sales, our operations and financial condition. We expect to experience pricing pressures from third-party payors in connection with the potential sale of any of our product candidates.</w:t>
      </w:r>
    </w:p>
    <w:p>
      <w:pPr>
        <w:spacing w:after="0" w:line="199"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The marketability of any product candidates for which we receive regulatory approval for commercial sale may suffer if government and other third- 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81"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In the United States and in some foreign jurisdictions, there have been and likely will continue to be a number of legislative and regulatory changes regarding the healthcare system directed at broadening the availability of healthcare, improving the quality of healthcare, and containing or lowering the cost of healthcare. For example, in 2010, the Patient Protection and Affordable Care Act, as amended by the Health Care and Education Reconciliation Act of 2010, was passed, which substantially changes the way healthcare is financed by both governmental and private insurers, and significantly impacts the U.S.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9360"/>
          </w:cols>
          <w:pgMar w:left="1440" w:top="988" w:right="1440" w:bottom="161" w:gutter="0" w:footer="0" w:header="0"/>
        </w:sectPr>
      </w:pPr>
    </w:p>
    <w:bookmarkStart w:id="63" w:name="page64"/>
    <w:bookmarkEnd w:id="63"/>
    <w:p>
      <w:pPr>
        <w:ind w:right="500"/>
        <w:spacing w:after="0" w:line="282" w:lineRule="auto"/>
        <w:rPr>
          <w:sz w:val="20"/>
          <w:szCs w:val="20"/>
          <w:color w:val="auto"/>
        </w:rPr>
      </w:pPr>
      <w:r>
        <w:rPr>
          <w:rFonts w:ascii="Arial" w:cs="Arial" w:eastAsia="Arial" w:hAnsi="Arial"/>
          <w:sz w:val="20"/>
          <w:szCs w:val="20"/>
          <w:color w:val="auto"/>
        </w:rPr>
        <w:t>pharmaceutical industry. See the section titled, “Business — Government Regulation — Current and future healthcare reform legislation”.</w:t>
      </w:r>
    </w:p>
    <w:p>
      <w:pPr>
        <w:spacing w:after="0" w:line="158" w:lineRule="exact"/>
        <w:rPr>
          <w:sz w:val="20"/>
          <w:szCs w:val="20"/>
          <w:color w:val="auto"/>
        </w:rPr>
      </w:pPr>
    </w:p>
    <w:p>
      <w:pPr>
        <w:ind w:right="100" w:firstLine="490"/>
        <w:spacing w:after="0" w:line="245" w:lineRule="auto"/>
        <w:rPr>
          <w:sz w:val="20"/>
          <w:szCs w:val="20"/>
          <w:color w:val="auto"/>
        </w:rPr>
      </w:pPr>
      <w:r>
        <w:rPr>
          <w:rFonts w:ascii="Arial" w:cs="Arial" w:eastAsia="Arial" w:hAnsi="Arial"/>
          <w:sz w:val="20"/>
          <w:szCs w:val="20"/>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99" w:lineRule="exact"/>
        <w:rPr>
          <w:sz w:val="20"/>
          <w:szCs w:val="20"/>
          <w:color w:val="auto"/>
        </w:rPr>
      </w:pPr>
    </w:p>
    <w:p>
      <w:pPr>
        <w:ind w:right="100" w:firstLine="490"/>
        <w:spacing w:after="0" w:line="244" w:lineRule="auto"/>
        <w:rPr>
          <w:sz w:val="20"/>
          <w:szCs w:val="20"/>
          <w:color w:val="auto"/>
        </w:rPr>
      </w:pPr>
      <w:r>
        <w:rPr>
          <w:rFonts w:ascii="Arial" w:cs="Arial" w:eastAsia="Arial" w:hAnsi="Arial"/>
          <w:sz w:val="20"/>
          <w:szCs w:val="20"/>
          <w:color w:val="auto"/>
        </w:rPr>
        <w:t>At the state level, legislatures are increasingly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202" w:lineRule="exact"/>
        <w:rPr>
          <w:sz w:val="20"/>
          <w:szCs w:val="20"/>
          <w:color w:val="auto"/>
        </w:rPr>
      </w:pPr>
    </w:p>
    <w:p>
      <w:pPr>
        <w:ind w:right="120" w:firstLine="490"/>
        <w:spacing w:after="0" w:line="247" w:lineRule="auto"/>
        <w:rPr>
          <w:sz w:val="20"/>
          <w:szCs w:val="20"/>
          <w:color w:val="auto"/>
        </w:rPr>
      </w:pPr>
      <w:r>
        <w:rPr>
          <w:rFonts w:ascii="Arial" w:cs="Arial" w:eastAsia="Arial" w:hAnsi="Arial"/>
          <w:sz w:val="20"/>
          <w:szCs w:val="20"/>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For example, recent CMS proposals, including the GLOBE, GUARD, and GENEROUS, could materially impact the Company’s revenue. This could result in reduced demand for any product candidate or complementary or companion diagnostics we develop or could result in additional pricing pressures.</w:t>
      </w:r>
    </w:p>
    <w:p>
      <w:pPr>
        <w:spacing w:after="0" w:line="194" w:lineRule="exact"/>
        <w:rPr>
          <w:sz w:val="20"/>
          <w:szCs w:val="20"/>
          <w:color w:val="auto"/>
        </w:rPr>
      </w:pPr>
    </w:p>
    <w:p>
      <w:pPr>
        <w:ind w:right="120" w:firstLine="490"/>
        <w:spacing w:after="0" w:line="253" w:lineRule="auto"/>
        <w:rPr>
          <w:sz w:val="20"/>
          <w:szCs w:val="20"/>
          <w:color w:val="auto"/>
        </w:rPr>
      </w:pPr>
      <w:r>
        <w:rPr>
          <w:rFonts w:ascii="Arial" w:cs="Arial" w:eastAsia="Arial" w:hAnsi="Arial"/>
          <w:sz w:val="20"/>
          <w:szCs w:val="20"/>
          <w:color w:val="auto"/>
        </w:rPr>
        <w:t>We cannot predict the likelihood, nature or extent of government regulation that may arise from future legislation or administrative action in the United States.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90"/>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demand for our product candidates, if we obtain regulatory approval;</w:t>
      </w:r>
    </w:p>
    <w:p>
      <w:pPr>
        <w:spacing w:after="0" w:line="240" w:lineRule="exact"/>
        <w:rPr>
          <w:rFonts w:ascii="Arial" w:cs="Arial" w:eastAsia="Arial" w:hAnsi="Arial"/>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set a price that we believe is fair for our approved products;</w:t>
      </w:r>
    </w:p>
    <w:p>
      <w:pPr>
        <w:spacing w:after="0" w:line="240" w:lineRule="exact"/>
        <w:rPr>
          <w:rFonts w:ascii="Arial" w:cs="Arial" w:eastAsia="Arial" w:hAnsi="Arial"/>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generate revenue and achieve or maintain profitability;</w:t>
      </w:r>
    </w:p>
    <w:p>
      <w:pPr>
        <w:spacing w:after="0" w:line="240" w:lineRule="exact"/>
        <w:rPr>
          <w:rFonts w:ascii="Arial" w:cs="Arial" w:eastAsia="Arial" w:hAnsi="Arial"/>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level of taxes that we are required to pay; and</w:t>
      </w:r>
    </w:p>
    <w:p>
      <w:pPr>
        <w:spacing w:after="0" w:line="240" w:lineRule="exact"/>
        <w:rPr>
          <w:rFonts w:ascii="Arial" w:cs="Arial" w:eastAsia="Arial" w:hAnsi="Arial"/>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availability of capital.</w:t>
      </w:r>
    </w:p>
    <w:p>
      <w:pPr>
        <w:spacing w:after="0" w:line="242"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76"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9360"/>
          </w:cols>
          <w:pgMar w:left="1440" w:top="988" w:right="1440" w:bottom="161" w:gutter="0" w:footer="0" w:header="0"/>
        </w:sectPr>
      </w:pPr>
    </w:p>
    <w:bookmarkStart w:id="64" w:name="page65"/>
    <w:bookmarkEnd w:id="64"/>
    <w:p>
      <w:pPr>
        <w:ind w:right="460"/>
        <w:spacing w:after="0" w:line="282" w:lineRule="auto"/>
        <w:rPr>
          <w:sz w:val="20"/>
          <w:szCs w:val="20"/>
          <w:color w:val="auto"/>
        </w:rPr>
      </w:pPr>
      <w:r>
        <w:rPr>
          <w:rFonts w:ascii="Arial" w:cs="Arial" w:eastAsia="Arial" w:hAnsi="Arial"/>
          <w:sz w:val="20"/>
          <w:szCs w:val="20"/>
          <w:color w:val="auto"/>
        </w:rPr>
        <w:t>approval. See the section titled, “Business — Government Regulation — Other Healthcare Laws and Compliance Requirements”.</w:t>
      </w:r>
    </w:p>
    <w:p>
      <w:pPr>
        <w:spacing w:after="0" w:line="158"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individual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similar penalties.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202" w:lineRule="exact"/>
        <w:rPr>
          <w:sz w:val="20"/>
          <w:szCs w:val="20"/>
          <w:color w:val="auto"/>
        </w:rPr>
      </w:pPr>
    </w:p>
    <w:p>
      <w:pPr>
        <w:ind w:right="40" w:firstLine="490"/>
        <w:spacing w:after="0" w:line="247" w:lineRule="auto"/>
        <w:rPr>
          <w:sz w:val="20"/>
          <w:szCs w:val="20"/>
          <w:color w:val="auto"/>
        </w:rPr>
      </w:pPr>
      <w:r>
        <w:rPr>
          <w:rFonts w:ascii="Arial" w:cs="Arial" w:eastAsia="Arial" w:hAnsi="Arial"/>
          <w:sz w:val="20"/>
          <w:szCs w:val="20"/>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Manufacturing of Our Product Candidates</w:t>
      </w:r>
    </w:p>
    <w:p>
      <w:pPr>
        <w:spacing w:after="0" w:line="247" w:lineRule="exact"/>
        <w:rPr>
          <w:sz w:val="20"/>
          <w:szCs w:val="20"/>
          <w:color w:val="auto"/>
        </w:rPr>
      </w:pPr>
    </w:p>
    <w:p>
      <w:pPr>
        <w:jc w:val="both"/>
        <w:ind w:right="180"/>
        <w:spacing w:after="0" w:line="263" w:lineRule="auto"/>
        <w:rPr>
          <w:sz w:val="20"/>
          <w:szCs w:val="20"/>
          <w:color w:val="auto"/>
        </w:rPr>
      </w:pPr>
      <w:r>
        <w:rPr>
          <w:rFonts w:ascii="Arial" w:cs="Arial" w:eastAsia="Arial" w:hAnsi="Arial"/>
          <w:sz w:val="20"/>
          <w:szCs w:val="20"/>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69" w:lineRule="exact"/>
        <w:rPr>
          <w:sz w:val="20"/>
          <w:szCs w:val="20"/>
          <w:color w:val="auto"/>
        </w:rPr>
      </w:pPr>
    </w:p>
    <w:p>
      <w:pPr>
        <w:ind w:right="340" w:firstLine="490"/>
        <w:spacing w:after="0" w:line="261" w:lineRule="auto"/>
        <w:rPr>
          <w:sz w:val="20"/>
          <w:szCs w:val="20"/>
          <w:color w:val="auto"/>
        </w:rPr>
      </w:pPr>
      <w:r>
        <w:rPr>
          <w:rFonts w:ascii="Arial" w:cs="Arial" w:eastAsia="Arial" w:hAnsi="Arial"/>
          <w:sz w:val="20"/>
          <w:szCs w:val="20"/>
          <w:color w:val="auto"/>
        </w:rPr>
        <w:t>We have contracted with qualified third-party CDMOs, to manufacture our product candidates for preclinical and clinical trials. If approved, commercial supply of any product candidates may also be manufactured at one or more CDMOs.</w:t>
      </w:r>
    </w:p>
    <w:p>
      <w:pPr>
        <w:spacing w:after="0" w:line="181" w:lineRule="exact"/>
        <w:rPr>
          <w:sz w:val="20"/>
          <w:szCs w:val="20"/>
          <w:color w:val="auto"/>
        </w:rPr>
      </w:pPr>
    </w:p>
    <w:p>
      <w:pPr>
        <w:ind w:right="80" w:firstLine="490"/>
        <w:spacing w:after="0" w:line="243" w:lineRule="auto"/>
        <w:rPr>
          <w:sz w:val="20"/>
          <w:szCs w:val="20"/>
          <w:color w:val="auto"/>
        </w:rPr>
      </w:pPr>
      <w:r>
        <w:rPr>
          <w:rFonts w:ascii="Arial" w:cs="Arial" w:eastAsia="Arial" w:hAnsi="Arial"/>
          <w:sz w:val="20"/>
          <w:szCs w:val="20"/>
          <w:color w:val="auto"/>
        </w:rPr>
        <w:t>The facilities used by our CDMOs to manufacture our product candidates are subject to various regulatory requirements and may be subject to the inspection of the FDA or other regulatory authorities. We do not control the manufacturing process at our CDMOs and are completely dependent on them for compliance with current regulatory requirements. If we or our CDMO cannot successfully manufacture material that conforms to our specifications and the strict regulatory requirements of the FDA or comparable regulatory authorities in foreign jurisdictions, we may not be able to rely on their manufacturing facilities for the manufacture of elements of our product candidates. In addition, we have limited control over the ability of our CDMOs to maintain adequate quality control, quality assurance and qualified personnel. If the FDA or a comparable foreign regulatory authority finds our facilities or those of our CDMOs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202" w:lineRule="exact"/>
        <w:rPr>
          <w:sz w:val="20"/>
          <w:szCs w:val="20"/>
          <w:color w:val="auto"/>
        </w:rPr>
      </w:pPr>
    </w:p>
    <w:p>
      <w:pPr>
        <w:ind w:right="100" w:firstLine="490"/>
        <w:spacing w:after="0" w:line="251" w:lineRule="auto"/>
        <w:rPr>
          <w:sz w:val="20"/>
          <w:szCs w:val="20"/>
          <w:color w:val="auto"/>
        </w:rPr>
      </w:pPr>
      <w:r>
        <w:rPr>
          <w:rFonts w:ascii="Arial" w:cs="Arial" w:eastAsia="Arial" w:hAnsi="Arial"/>
          <w:sz w:val="20"/>
          <w:szCs w:val="20"/>
          <w:color w:val="auto"/>
        </w:rPr>
        <w:t>Additionally, our CDMOs may experience manufacturing difficulties due to resource constraints or as a result of labor disputes or unstable political environments or on account of global pandemics or similar events. If our CDMOs were to encounter any of these difficulties, our ability to provide our product candidate to patients in clinical trials, or to provide product for the treatment of patients once approved, would be jeopardized.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9360"/>
          </w:cols>
          <w:pgMar w:left="1440" w:top="988" w:right="1440" w:bottom="161" w:gutter="0" w:footer="0" w:header="0"/>
        </w:sectPr>
      </w:pPr>
    </w:p>
    <w:bookmarkStart w:id="65" w:name="page66"/>
    <w:bookmarkEnd w:id="65"/>
    <w:p>
      <w:pPr>
        <w:ind w:right="220"/>
        <w:spacing w:after="0" w:line="288" w:lineRule="auto"/>
        <w:rPr>
          <w:sz w:val="20"/>
          <w:szCs w:val="20"/>
          <w:color w:val="auto"/>
        </w:rPr>
      </w:pPr>
      <w:r>
        <w:rPr>
          <w:rFonts w:ascii="Arial" w:cs="Arial" w:eastAsia="Arial" w:hAnsi="Arial"/>
          <w:sz w:val="20"/>
          <w:szCs w:val="20"/>
          <w:b w:val="1"/>
          <w:bCs w:val="1"/>
          <w:i w:val="1"/>
          <w:iCs w:val="1"/>
          <w:color w:val="auto"/>
        </w:rPr>
        <w:t>Changes in methods of product candidate manufacturing or formulation may result in additional costs or delay.</w:t>
      </w:r>
    </w:p>
    <w:p>
      <w:pPr>
        <w:spacing w:after="0" w:line="142"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In addition, we will likely need to change our CDMO for manufacturing any of our product candidates to one that can support commercial-scale manufacturing.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9" w:lineRule="exact"/>
        <w:rPr>
          <w:sz w:val="20"/>
          <w:szCs w:val="20"/>
          <w:color w:val="auto"/>
        </w:rPr>
      </w:pPr>
    </w:p>
    <w:p>
      <w:pPr>
        <w:ind w:right="480"/>
        <w:spacing w:after="0" w:line="288" w:lineRule="auto"/>
        <w:rPr>
          <w:sz w:val="20"/>
          <w:szCs w:val="20"/>
          <w:color w:val="auto"/>
        </w:rPr>
      </w:pPr>
      <w:r>
        <w:rPr>
          <w:rFonts w:ascii="Arial" w:cs="Arial" w:eastAsia="Arial" w:hAnsi="Arial"/>
          <w:sz w:val="20"/>
          <w:szCs w:val="20"/>
          <w:b w:val="1"/>
          <w:bCs w:val="1"/>
          <w:i w:val="1"/>
          <w:iCs w:val="1"/>
          <w:color w:val="auto"/>
        </w:rPr>
        <w:t>We are subject to multiple manufacturing risks, any of which could substantially increase our costs and limit supply of our product candidates.</w:t>
      </w:r>
    </w:p>
    <w:p>
      <w:pPr>
        <w:spacing w:after="0" w:line="145" w:lineRule="exact"/>
        <w:rPr>
          <w:sz w:val="20"/>
          <w:szCs w:val="20"/>
          <w:color w:val="auto"/>
        </w:rPr>
      </w:pPr>
    </w:p>
    <w:p>
      <w:pPr>
        <w:jc w:val="both"/>
        <w:ind w:right="880" w:firstLine="490"/>
        <w:spacing w:after="0" w:line="310" w:lineRule="auto"/>
        <w:rPr>
          <w:sz w:val="20"/>
          <w:szCs w:val="20"/>
          <w:color w:val="auto"/>
        </w:rPr>
      </w:pPr>
      <w:r>
        <w:rPr>
          <w:rFonts w:ascii="Arial" w:cs="Arial" w:eastAsia="Arial" w:hAnsi="Arial"/>
          <w:sz w:val="19"/>
          <w:szCs w:val="19"/>
          <w:color w:val="auto"/>
        </w:rPr>
        <w:t>The process of manufacturing antibody therapeutics and bispecifics, including our product candidates, is complex, time-consuming, highly regulated and subject to several risks, including:</w:t>
      </w:r>
    </w:p>
    <w:p>
      <w:pPr>
        <w:spacing w:after="0" w:line="149" w:lineRule="exact"/>
        <w:rPr>
          <w:sz w:val="20"/>
          <w:szCs w:val="20"/>
          <w:color w:val="auto"/>
        </w:rPr>
      </w:pPr>
    </w:p>
    <w:p>
      <w:pPr>
        <w:ind w:left="980" w:right="140" w:hanging="490"/>
        <w:spacing w:after="0" w:line="247"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206" w:lineRule="exact"/>
        <w:rPr>
          <w:rFonts w:ascii="Arial" w:cs="Arial" w:eastAsia="Arial" w:hAnsi="Arial"/>
          <w:sz w:val="20"/>
          <w:szCs w:val="20"/>
          <w:color w:val="auto"/>
        </w:rPr>
      </w:pPr>
    </w:p>
    <w:p>
      <w:pPr>
        <w:ind w:left="980" w:right="140" w:hanging="490"/>
        <w:spacing w:after="0" w:line="261"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will likely need to change our CDMO for manufacturing our product candidates to one that can support large-scale manufacturing for later stage clinical trials as well as commercial supply needs;</w:t>
      </w:r>
    </w:p>
    <w:p>
      <w:pPr>
        <w:spacing w:after="0" w:line="193" w:lineRule="exact"/>
        <w:rPr>
          <w:rFonts w:ascii="Arial" w:cs="Arial" w:eastAsia="Arial" w:hAnsi="Arial"/>
          <w:sz w:val="20"/>
          <w:szCs w:val="20"/>
          <w:color w:val="auto"/>
        </w:rPr>
      </w:pPr>
    </w:p>
    <w:p>
      <w:pPr>
        <w:jc w:val="both"/>
        <w:ind w:left="980" w:right="400" w:hanging="490"/>
        <w:spacing w:after="0" w:line="261"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manufacturing facilities in which our products are made could be adversely affected by equipment failures, labor and raw material shortages, natural disasters, power failures and numerous other factors; and</w:t>
      </w:r>
    </w:p>
    <w:p>
      <w:pPr>
        <w:spacing w:after="0" w:line="193" w:lineRule="exact"/>
        <w:rPr>
          <w:rFonts w:ascii="Arial" w:cs="Arial" w:eastAsia="Arial" w:hAnsi="Arial"/>
          <w:sz w:val="20"/>
          <w:szCs w:val="20"/>
          <w:color w:val="auto"/>
        </w:rPr>
      </w:pPr>
    </w:p>
    <w:p>
      <w:pPr>
        <w:ind w:left="980" w:right="20" w:hanging="490"/>
        <w:spacing w:after="0" w:line="251" w:lineRule="auto"/>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90"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9360"/>
          </w:cols>
          <w:pgMar w:left="1440" w:top="992" w:right="1440" w:bottom="161"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u w:val="single" w:color="auto"/>
          <w:color w:val="auto"/>
        </w:rPr>
        <w:t>Risks Related to Intellectual Property</w:t>
      </w:r>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i w:val="1"/>
          <w:iCs w:val="1"/>
          <w:color w:val="auto"/>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78" w:lineRule="exact"/>
        <w:rPr>
          <w:sz w:val="20"/>
          <w:szCs w:val="20"/>
          <w:color w:val="auto"/>
        </w:rPr>
      </w:pPr>
    </w:p>
    <w:p>
      <w:pPr>
        <w:ind w:right="60" w:firstLine="490"/>
        <w:spacing w:after="0" w:line="250" w:lineRule="auto"/>
        <w:rPr>
          <w:sz w:val="20"/>
          <w:szCs w:val="20"/>
          <w:color w:val="auto"/>
        </w:rPr>
      </w:pPr>
      <w:r>
        <w:rPr>
          <w:rFonts w:ascii="Arial" w:cs="Arial" w:eastAsia="Arial" w:hAnsi="Arial"/>
          <w:sz w:val="20"/>
          <w:szCs w:val="20"/>
          <w:color w:val="auto"/>
        </w:rPr>
        <w:t>Our success depends, in large part, on our and in a few cases, our licensors’ ability to obtain and maintain patent protection in the United States and other countries with respect to our product candidates and platform. We and our licensors have sought, and intend to seek, to protect our proprietary position by filing patent applications in the United States and abroad related to our product candidates and technology that are important to our business.</w:t>
      </w:r>
    </w:p>
    <w:p>
      <w:pPr>
        <w:spacing w:after="0" w:line="192" w:lineRule="exact"/>
        <w:rPr>
          <w:sz w:val="20"/>
          <w:szCs w:val="20"/>
          <w:color w:val="auto"/>
        </w:rPr>
      </w:pPr>
    </w:p>
    <w:p>
      <w:pPr>
        <w:ind w:right="40" w:firstLine="490"/>
        <w:spacing w:after="0" w:line="310" w:lineRule="auto"/>
        <w:rPr>
          <w:sz w:val="20"/>
          <w:szCs w:val="20"/>
          <w:color w:val="auto"/>
        </w:rPr>
      </w:pPr>
      <w:r>
        <w:rPr>
          <w:rFonts w:ascii="Arial" w:cs="Arial" w:eastAsia="Arial" w:hAnsi="Arial"/>
          <w:sz w:val="19"/>
          <w:szCs w:val="19"/>
          <w:color w:val="auto"/>
        </w:rPr>
        <w:t>The patent position of biotechnology and pharmaceutical companies generally is highly uncertain, involves complex legal and factual questions and has, in recent years, been the subject of much litigation.</w:t>
      </w:r>
    </w:p>
    <w:p>
      <w:pPr>
        <w:spacing w:after="0" w:line="136"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98"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auto"/>
        </w:rPr>
        <w:t>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only upon issuance or not at all. Therefore, we cannot be certain that we, or a licensor, were the first to make the inventions claimed in any owned or any licensed patents or pending patent applications, respectively, or which entity was the first to file for patent protection until such patent application publishes or issues as a patent.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and our licensed patent rights are uncertain. Furthermore, if third parties have filed such patent applications, we may challenge their ownership, for example in a derivation proceeding before the U.S. Patent and Trademark Office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210"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The patent prosecution process is expensive, time consuming and complex, and we may not have and may not in the future be able to file, prosecute, maintain, enforce, defend or license all necessary or desirable patent applications in some or all relevant jurisdictions at a reasonable cost or in a timely manner. For example, in some cases, the work of certain academic researchers in the field has entered the public domain, which may compromise our ability to obtain patent protection for certain inventions related to or building upon such prior work. Consequently, we may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 In some cases, we may be able to obtain patent protection, but such protections may expire before we commercialize the product protected by those rights, leaving us no meaningful protection for our products. In other cases, where our intellectual property is being managed by a third-party collaborator, licensee or partner, that third party may fail to act diligently in prosecuting, maintaining, defending or enforcing our patents. Such conduct</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9360"/>
          </w:cols>
          <w:pgMar w:left="1440" w:top="984" w:right="1440" w:bottom="161" w:gutter="0" w:footer="0" w:header="0"/>
        </w:sectPr>
      </w:pPr>
    </w:p>
    <w:bookmarkStart w:id="67" w:name="page68"/>
    <w:bookmarkEnd w:id="67"/>
    <w:p>
      <w:pPr>
        <w:ind w:right="320"/>
        <w:spacing w:after="0" w:line="282" w:lineRule="auto"/>
        <w:rPr>
          <w:sz w:val="20"/>
          <w:szCs w:val="20"/>
          <w:color w:val="auto"/>
        </w:rPr>
      </w:pPr>
      <w:r>
        <w:rPr>
          <w:rFonts w:ascii="Arial" w:cs="Arial" w:eastAsia="Arial" w:hAnsi="Arial"/>
          <w:sz w:val="20"/>
          <w:szCs w:val="20"/>
          <w:color w:val="auto"/>
        </w:rPr>
        <w:t>may result in the failure to maintain or obtain protections, loss of rights, loss of patent term or, in cases where a third party has acted negligently or inequitably, patents being found unenforceable.</w:t>
      </w:r>
    </w:p>
    <w:p>
      <w:pPr>
        <w:spacing w:after="0" w:line="158" w:lineRule="exact"/>
        <w:rPr>
          <w:sz w:val="20"/>
          <w:szCs w:val="20"/>
          <w:color w:val="auto"/>
        </w:rPr>
      </w:pPr>
    </w:p>
    <w:p>
      <w:pPr>
        <w:ind w:right="80" w:firstLine="490"/>
        <w:spacing w:after="0" w:line="251" w:lineRule="auto"/>
        <w:rPr>
          <w:sz w:val="20"/>
          <w:szCs w:val="20"/>
          <w:color w:val="auto"/>
        </w:rPr>
      </w:pPr>
      <w:r>
        <w:rPr>
          <w:rFonts w:ascii="Arial" w:cs="Arial" w:eastAsia="Arial" w:hAnsi="Arial"/>
          <w:sz w:val="20"/>
          <w:szCs w:val="20"/>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90" w:lineRule="exact"/>
        <w:rPr>
          <w:sz w:val="20"/>
          <w:szCs w:val="20"/>
          <w:color w:val="auto"/>
        </w:rPr>
      </w:pPr>
    </w:p>
    <w:p>
      <w:pPr>
        <w:ind w:right="160" w:firstLine="490"/>
        <w:spacing w:after="0" w:line="248" w:lineRule="auto"/>
        <w:rPr>
          <w:sz w:val="20"/>
          <w:szCs w:val="20"/>
          <w:color w:val="auto"/>
        </w:rPr>
      </w:pPr>
      <w:r>
        <w:rPr>
          <w:rFonts w:ascii="Arial" w:cs="Arial" w:eastAsia="Arial" w:hAnsi="Arial"/>
          <w:sz w:val="20"/>
          <w:szCs w:val="20"/>
          <w:color w:val="auto"/>
        </w:rPr>
        <w:t>In spite of a legal presumption of validity, the issuance of a patent is not conclusive as to its inventorship, ownership, scope, validity, or enforceability which may be challenged in the courts and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98" w:lineRule="exact"/>
        <w:rPr>
          <w:sz w:val="20"/>
          <w:szCs w:val="20"/>
          <w:color w:val="auto"/>
        </w:rPr>
      </w:pPr>
    </w:p>
    <w:p>
      <w:pPr>
        <w:jc w:val="both"/>
        <w:ind w:right="500"/>
        <w:spacing w:after="0" w:line="255" w:lineRule="auto"/>
        <w:rPr>
          <w:sz w:val="20"/>
          <w:szCs w:val="20"/>
          <w:color w:val="auto"/>
        </w:rPr>
      </w:pPr>
      <w:r>
        <w:rPr>
          <w:rFonts w:ascii="Arial" w:cs="Arial" w:eastAsia="Arial" w:hAnsi="Arial"/>
          <w:sz w:val="20"/>
          <w:szCs w:val="20"/>
          <w:b w:val="1"/>
          <w:bCs w:val="1"/>
          <w:i w:val="1"/>
          <w:iCs w:val="1"/>
          <w:color w:val="auto"/>
        </w:rPr>
        <w:t>Our intellectual property agreements with third parties may be subject to disagreements over contract interpretation, which could narrow the scope of our rights to the relevant intellectual property or technology, resulting in termination of our access to such intellectual property or increase our financial or other obligations to our licensors.</w:t>
      </w:r>
    </w:p>
    <w:p>
      <w:pPr>
        <w:spacing w:after="0" w:line="178" w:lineRule="exact"/>
        <w:rPr>
          <w:sz w:val="20"/>
          <w:szCs w:val="20"/>
          <w:color w:val="auto"/>
        </w:rPr>
      </w:pPr>
    </w:p>
    <w:p>
      <w:pPr>
        <w:ind w:right="120" w:firstLine="490"/>
        <w:spacing w:after="0" w:line="245" w:lineRule="auto"/>
        <w:rPr>
          <w:sz w:val="20"/>
          <w:szCs w:val="20"/>
          <w:color w:val="auto"/>
        </w:rPr>
      </w:pPr>
      <w:r>
        <w:rPr>
          <w:rFonts w:ascii="Arial" w:cs="Arial" w:eastAsia="Arial" w:hAnsi="Arial"/>
          <w:sz w:val="20"/>
          <w:szCs w:val="20"/>
          <w:color w:val="auto"/>
        </w:rPr>
        <w:t>The agreements under which we currently license intellectual property or technology from third parties are complex, and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6"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own or may own in the future. We rely, in part, on our third party payment services or our licensing partners to pay these fees due to the USPTO and to non-U.S. patent agencies. The USPTO and various non- 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and may compromise the strength of other intellectual property in our portfolio. In such an event, potential competitors might be able to enter the market and this circumstance could have a material adverse effect on our business.</w:t>
      </w:r>
    </w:p>
    <w:p>
      <w:pPr>
        <w:spacing w:after="0" w:line="211" w:lineRule="exact"/>
        <w:rPr>
          <w:sz w:val="20"/>
          <w:szCs w:val="20"/>
          <w:color w:val="auto"/>
        </w:rPr>
      </w:pPr>
    </w:p>
    <w:p>
      <w:pPr>
        <w:ind w:right="100" w:firstLine="490"/>
        <w:spacing w:after="0" w:line="262" w:lineRule="auto"/>
        <w:rPr>
          <w:sz w:val="20"/>
          <w:szCs w:val="20"/>
          <w:color w:val="auto"/>
        </w:rPr>
      </w:pPr>
      <w:r>
        <w:rPr>
          <w:rFonts w:ascii="Arial" w:cs="Arial" w:eastAsia="Arial" w:hAnsi="Arial"/>
          <w:sz w:val="19"/>
          <w:szCs w:val="19"/>
          <w:color w:val="auto"/>
        </w:rPr>
        <w:t>On February 1, 2019 the government of Venezuela, in response to certain U.S. sanctions, began to require that foreign entities pay all official fees, including patent fees (either for pending matters or new petitions), in PETRO, a “cryptocurrency” created by the Nicolás Maduro administration in February 2018 as a way to collect U.S. dollars while avoiding American financial sanctions issued under an Executive Order of then-President Trump on March 19, 2018. The Executive Order banned transactions involving “any digital currency, digital coin, or digital token, that was issued by, for, or on behalf of the Government of Venezuela on or after January 9, 2018.” The prohibition is applicable to any U.S. entity unless</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9360"/>
          </w:cols>
          <w:pgMar w:left="1440" w:top="988" w:right="1440" w:bottom="161" w:gutter="0" w:footer="0" w:header="0"/>
        </w:sectPr>
      </w:pPr>
    </w:p>
    <w:bookmarkStart w:id="68" w:name="page69"/>
    <w:bookmarkEnd w:id="68"/>
    <w:p>
      <w:pPr>
        <w:ind w:right="240"/>
        <w:spacing w:after="0" w:line="248" w:lineRule="auto"/>
        <w:rPr>
          <w:sz w:val="20"/>
          <w:szCs w:val="20"/>
          <w:color w:val="auto"/>
        </w:rPr>
      </w:pPr>
      <w:r>
        <w:rPr>
          <w:rFonts w:ascii="Arial" w:cs="Arial" w:eastAsia="Arial" w:hAnsi="Arial"/>
          <w:sz w:val="20"/>
          <w:szCs w:val="20"/>
          <w:color w:val="auto"/>
        </w:rPr>
        <w:t>exempted by license. We do not hold such a license and therefore may not be able to secure patents in Venezuela. A presidential decree dated January 14, 2020 formally established the PETRO as a mandatory means of payment. In response, the Venezuelan Patent Office established an alternative payment method allowing the receipt of deposits with the value of corresponding Official fees in U.S. Dollars and Euros in cash at a non-sanctioned governmental bank. While this has been an adequate course of action to proceed in compliance, there is no guarantee it will remain so.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able to protect our intellectual property rights throughout the world.</w:t>
      </w:r>
    </w:p>
    <w:p>
      <w:pPr>
        <w:spacing w:after="0" w:line="236"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6"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Many companies have encountered significant problems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or methods of treatment, which could make it difficult for us to stop the infringement of our patents or marketing of competing products in violation of our proprietary rights generally. For example, with “Brexit”, there is uncertainty associated with obtaining, defending, and enforcing intellectual property rights in the United Kingdom. International treaties and regulations promulgated as a result of this transition could impede or eliminate our ability to obtain or maintain meaningful intellectual property rights in the United Kingdom.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0" w:lineRule="exact"/>
        <w:rPr>
          <w:sz w:val="20"/>
          <w:szCs w:val="20"/>
          <w:color w:val="auto"/>
        </w:rPr>
      </w:pPr>
    </w:p>
    <w:p>
      <w:pPr>
        <w:ind w:right="140" w:firstLine="490"/>
        <w:spacing w:after="0" w:line="247" w:lineRule="auto"/>
        <w:rPr>
          <w:sz w:val="20"/>
          <w:szCs w:val="20"/>
          <w:color w:val="auto"/>
        </w:rPr>
      </w:pPr>
      <w:r>
        <w:rPr>
          <w:rFonts w:ascii="Arial" w:cs="Arial" w:eastAsia="Arial" w:hAnsi="Arial"/>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6"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b w:val="1"/>
          <w:bCs w:val="1"/>
          <w:i w:val="1"/>
          <w:iCs w:val="1"/>
          <w:color w:val="auto"/>
        </w:rPr>
        <w:t>Patent terms may be inadequate to protect our competitive position on our product candidates for an adequate amount of time.</w:t>
      </w:r>
    </w:p>
    <w:p>
      <w:pPr>
        <w:spacing w:after="0" w:line="145"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Patents have a limited lifespan. In most countries, if all maintenance fees are timely paid, the natural expiration of a patent is generally 20 years from its earliest national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it is possible that patents protecting our product candidates might expire before or shortly after we commercialize those candidates. Further, if we encounter delays in our clinical trials, the period of time during which we could market our product candidates under patent</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9360"/>
          </w:cols>
          <w:pgMar w:left="1440" w:top="988" w:right="1440" w:bottom="161" w:gutter="0" w:footer="0" w:header="0"/>
        </w:sectPr>
      </w:pPr>
    </w:p>
    <w:bookmarkStart w:id="69" w:name="page70"/>
    <w:bookmarkEnd w:id="69"/>
    <w:p>
      <w:pPr>
        <w:ind w:right="40"/>
        <w:spacing w:after="0" w:line="282" w:lineRule="auto"/>
        <w:rPr>
          <w:sz w:val="20"/>
          <w:szCs w:val="20"/>
          <w:color w:val="auto"/>
        </w:rPr>
      </w:pPr>
      <w:r>
        <w:rPr>
          <w:rFonts w:ascii="Arial" w:cs="Arial" w:eastAsia="Arial" w:hAnsi="Arial"/>
          <w:sz w:val="20"/>
          <w:szCs w:val="20"/>
          <w:color w:val="auto"/>
        </w:rPr>
        <w:t>protection would be reduced. As a result, our owned and licensed patent portfolio may not provide us with sufficient rights to exclude others from commercializing products similar or identical to ours.</w:t>
      </w:r>
    </w:p>
    <w:p>
      <w:pPr>
        <w:spacing w:after="0" w:line="162" w:lineRule="exact"/>
        <w:rPr>
          <w:sz w:val="20"/>
          <w:szCs w:val="20"/>
          <w:color w:val="auto"/>
        </w:rPr>
      </w:pPr>
    </w:p>
    <w:p>
      <w:pPr>
        <w:ind w:right="480"/>
        <w:spacing w:after="0" w:line="288" w:lineRule="auto"/>
        <w:rPr>
          <w:sz w:val="20"/>
          <w:szCs w:val="20"/>
          <w:color w:val="auto"/>
        </w:rPr>
      </w:pPr>
      <w:r>
        <w:rPr>
          <w:rFonts w:ascii="Arial" w:cs="Arial" w:eastAsia="Arial" w:hAnsi="Arial"/>
          <w:sz w:val="20"/>
          <w:szCs w:val="20"/>
          <w:b w:val="1"/>
          <w:bCs w:val="1"/>
          <w:i w:val="1"/>
          <w:iCs w:val="1"/>
          <w:color w:val="auto"/>
        </w:rPr>
        <w:t>If we do not obtain patent term extension and data exclusivity for our product candidates, our business may be materially harmed.</w:t>
      </w:r>
    </w:p>
    <w:p>
      <w:pPr>
        <w:spacing w:after="0" w:line="145"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or more than five years beyond the patent’s natural expiration date, only one patent may be extended per FDA- approved product, and only those claims covering the approved drug, a method for using it or a method for manufacturing it may be extended. Further, certain of our licenses currently or in the future may not provide us with the right to control decisions the licensor or its other licensees on Orange Book listings or patent term extension decisions under the Hatch-Waxman Act. Thus, if one of our important licensed patents is eligible for a patent term extension under the Hatch-Waxman Act, and it covers a product of another licensee in addition to our own product candidate, we may not be able to obtain that extension if the other licensee seeks and obtains that extension first.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208"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The Biologics Price Competition and Innovation Act of 2009 provides up to 12 years of market exclusivity for a reference biological product. We may not be able to obtain such exclusivity for our products. Moreover, the applicable time-period or the scope of patent protection afforded during any such extension could be less than we request. If we are unable to obtain patent term extension or the scope of term of any such extension is less than we request, the period during which we will have the right to exclusively market our product may be shortened and our competitors may obtain approval of competing products following our patent expiration, and our revenue could be materially reduced.</w:t>
      </w:r>
    </w:p>
    <w:p>
      <w:pPr>
        <w:spacing w:after="0" w:line="198" w:lineRule="exact"/>
        <w:rPr>
          <w:sz w:val="20"/>
          <w:szCs w:val="20"/>
          <w:color w:val="auto"/>
        </w:rPr>
      </w:pPr>
    </w:p>
    <w:p>
      <w:pPr>
        <w:ind w:right="240"/>
        <w:spacing w:after="0" w:line="288" w:lineRule="auto"/>
        <w:rPr>
          <w:sz w:val="20"/>
          <w:szCs w:val="20"/>
          <w:color w:val="auto"/>
        </w:rPr>
      </w:pPr>
      <w:r>
        <w:rPr>
          <w:rFonts w:ascii="Arial" w:cs="Arial" w:eastAsia="Arial" w:hAnsi="Arial"/>
          <w:sz w:val="20"/>
          <w:szCs w:val="20"/>
          <w:b w:val="1"/>
          <w:bCs w:val="1"/>
          <w:i w:val="1"/>
          <w:iCs w:val="1"/>
          <w:color w:val="auto"/>
        </w:rPr>
        <w:t>Changes in U.S. patent law could diminish the value of patents in general, thereby impairing our ability to protect our product candidates.</w:t>
      </w:r>
    </w:p>
    <w:p>
      <w:pPr>
        <w:spacing w:after="0" w:line="145"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enacted in September 2011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w:t>
      </w:r>
    </w:p>
    <w:p>
      <w:pPr>
        <w:spacing w:after="0" w:line="196" w:lineRule="exact"/>
        <w:rPr>
          <w:sz w:val="20"/>
          <w:szCs w:val="20"/>
          <w:color w:val="auto"/>
        </w:rPr>
      </w:pPr>
    </w:p>
    <w:p>
      <w:pPr>
        <w:ind w:right="100" w:firstLine="490"/>
        <w:spacing w:after="0" w:line="246" w:lineRule="auto"/>
        <w:rPr>
          <w:sz w:val="20"/>
          <w:szCs w:val="20"/>
          <w:color w:val="auto"/>
        </w:rPr>
      </w:pPr>
      <w:r>
        <w:rPr>
          <w:rFonts w:ascii="Arial" w:cs="Arial" w:eastAsia="Arial" w:hAnsi="Arial"/>
          <w:sz w:val="20"/>
          <w:szCs w:val="20"/>
          <w:color w:val="auto"/>
        </w:rPr>
        <w:t xml:space="preserve">The America Invents Act also includes several significant changes that affect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5"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auto"/>
        </w:rPr>
        <w:t xml:space="preserve">We may be subject to such third-party pre-issuance submission of prior art to the USPTO or become involved in other contested proceedings such as opposition, derivation, reexamination, </w:t>
      </w:r>
      <w:r>
        <w:rPr>
          <w:rFonts w:ascii="Arial" w:cs="Arial" w:eastAsia="Arial" w:hAnsi="Arial"/>
          <w:sz w:val="20"/>
          <w:szCs w:val="20"/>
          <w:i w:val="1"/>
          <w:iCs w:val="1"/>
          <w:color w:val="auto"/>
        </w:rPr>
        <w:t>inter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partes </w:t>
      </w:r>
      <w:r>
        <w:rPr>
          <w:rFonts w:ascii="Arial" w:cs="Arial" w:eastAsia="Arial" w:hAnsi="Arial"/>
          <w:sz w:val="20"/>
          <w:szCs w:val="20"/>
          <w:color w:val="auto"/>
        </w:rPr>
        <w:t>review, or post-grant review proceedings challenging our patent rights or the patent rights of</w:t>
      </w:r>
      <w:r>
        <w:rPr>
          <w:rFonts w:ascii="Arial" w:cs="Arial" w:eastAsia="Arial" w:hAnsi="Arial"/>
          <w:sz w:val="20"/>
          <w:szCs w:val="20"/>
          <w:i w:val="1"/>
          <w:iCs w:val="1"/>
          <w:color w:val="auto"/>
        </w:rPr>
        <w:t xml:space="preserve"> </w:t>
      </w:r>
      <w:r>
        <w:rPr>
          <w:rFonts w:ascii="Arial" w:cs="Arial" w:eastAsia="Arial" w:hAnsi="Arial"/>
          <w:sz w:val="20"/>
          <w:szCs w:val="20"/>
          <w:color w:val="auto"/>
        </w:rPr>
        <w:t>others. An adverse determination in any such submission, proceeding or litigation could reduce the scope of, or invalidate, our patent rights, allow third parties to commercialize our technology or products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9360"/>
          </w:cols>
          <w:pgMar w:left="1440" w:top="988" w:right="1440" w:bottom="161" w:gutter="0" w:footer="0" w:header="0"/>
        </w:sectPr>
      </w:pPr>
    </w:p>
    <w:bookmarkStart w:id="70" w:name="page71"/>
    <w:bookmarkEnd w:id="70"/>
    <w:p>
      <w:pPr>
        <w:ind w:right="100"/>
        <w:spacing w:after="0" w:line="253" w:lineRule="auto"/>
        <w:rPr>
          <w:sz w:val="20"/>
          <w:szCs w:val="20"/>
          <w:color w:val="auto"/>
        </w:rPr>
      </w:pPr>
      <w:r>
        <w:rPr>
          <w:rFonts w:ascii="Arial" w:cs="Arial" w:eastAsia="Arial" w:hAnsi="Arial"/>
          <w:sz w:val="20"/>
          <w:szCs w:val="20"/>
          <w:color w:val="auto"/>
        </w:rPr>
        <w:t>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190"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In addition, the patent positions of companies in the development and commercialization of biological products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03" w:lineRule="exact"/>
        <w:rPr>
          <w:sz w:val="20"/>
          <w:szCs w:val="20"/>
          <w:color w:val="auto"/>
        </w:rPr>
      </w:pPr>
    </w:p>
    <w:p>
      <w:pPr>
        <w:ind w:right="480"/>
        <w:spacing w:after="0" w:line="286" w:lineRule="auto"/>
        <w:rPr>
          <w:sz w:val="20"/>
          <w:szCs w:val="20"/>
          <w:color w:val="auto"/>
        </w:rPr>
      </w:pPr>
      <w:r>
        <w:rPr>
          <w:rFonts w:ascii="Arial" w:cs="Arial" w:eastAsia="Arial" w:hAnsi="Arial"/>
          <w:sz w:val="20"/>
          <w:szCs w:val="20"/>
          <w:b w:val="1"/>
          <w:bCs w:val="1"/>
          <w:i w:val="1"/>
          <w:iCs w:val="1"/>
          <w:color w:val="auto"/>
        </w:rPr>
        <w:t>Intellectual property litigation could cause us to spend substantial resources and distract our personnel from their normal responsibilities.</w:t>
      </w:r>
    </w:p>
    <w:p>
      <w:pPr>
        <w:spacing w:after="0" w:line="146"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9" w:lineRule="exact"/>
        <w:rPr>
          <w:sz w:val="20"/>
          <w:szCs w:val="20"/>
          <w:color w:val="auto"/>
        </w:rPr>
      </w:pPr>
    </w:p>
    <w:p>
      <w:pPr>
        <w:ind w:right="80" w:firstLine="490"/>
        <w:spacing w:after="0" w:line="243" w:lineRule="auto"/>
        <w:rPr>
          <w:sz w:val="20"/>
          <w:szCs w:val="20"/>
          <w:color w:val="auto"/>
        </w:rPr>
      </w:pPr>
      <w:r>
        <w:rPr>
          <w:rFonts w:ascii="Arial" w:cs="Arial" w:eastAsia="Arial" w:hAnsi="Arial"/>
          <w:sz w:val="20"/>
          <w:szCs w:val="20"/>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208" w:lineRule="exact"/>
        <w:rPr>
          <w:sz w:val="20"/>
          <w:szCs w:val="20"/>
          <w:color w:val="auto"/>
        </w:rPr>
      </w:pPr>
    </w:p>
    <w:p>
      <w:pPr>
        <w:ind w:right="760"/>
        <w:spacing w:after="0" w:line="288" w:lineRule="auto"/>
        <w:rPr>
          <w:sz w:val="20"/>
          <w:szCs w:val="20"/>
          <w:color w:val="auto"/>
        </w:rPr>
      </w:pPr>
      <w:r>
        <w:rPr>
          <w:rFonts w:ascii="Arial" w:cs="Arial" w:eastAsia="Arial" w:hAnsi="Arial"/>
          <w:sz w:val="20"/>
          <w:szCs w:val="20"/>
          <w:b w:val="1"/>
          <w:bCs w:val="1"/>
          <w:i w:val="1"/>
          <w:iCs w:val="1"/>
          <w:color w:val="auto"/>
        </w:rPr>
        <w:t>Issued patents covering our product candidates could be found invalid or unenforceable if challenged in court. We may not be able to protect our trade secrets in court.</w:t>
      </w:r>
    </w:p>
    <w:p>
      <w:pPr>
        <w:spacing w:after="0" w:line="145" w:lineRule="exact"/>
        <w:rPr>
          <w:sz w:val="20"/>
          <w:szCs w:val="20"/>
          <w:color w:val="auto"/>
        </w:rPr>
      </w:pPr>
    </w:p>
    <w:p>
      <w:pPr>
        <w:ind w:right="40" w:firstLine="490"/>
        <w:spacing w:after="0" w:line="259" w:lineRule="auto"/>
        <w:rPr>
          <w:sz w:val="20"/>
          <w:szCs w:val="20"/>
          <w:color w:val="auto"/>
        </w:rPr>
      </w:pPr>
      <w:r>
        <w:rPr>
          <w:rFonts w:ascii="Arial" w:cs="Arial" w:eastAsia="Arial" w:hAnsi="Arial"/>
          <w:sz w:val="19"/>
          <w:szCs w:val="19"/>
          <w:color w:val="auto"/>
        </w:rPr>
        <w:t>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9360"/>
          </w:cols>
          <w:pgMar w:left="1440" w:top="988" w:right="1440" w:bottom="161" w:gutter="0" w:footer="0" w:header="0"/>
        </w:sectPr>
      </w:pPr>
    </w:p>
    <w:bookmarkStart w:id="71" w:name="page72"/>
    <w:bookmarkEnd w:id="71"/>
    <w:p>
      <w:pPr>
        <w:ind w:right="140"/>
        <w:spacing w:after="0" w:line="243" w:lineRule="auto"/>
        <w:rPr>
          <w:sz w:val="20"/>
          <w:szCs w:val="20"/>
          <w:color w:val="auto"/>
        </w:rPr>
      </w:pPr>
      <w:r>
        <w:rPr>
          <w:rFonts w:ascii="Arial" w:cs="Arial" w:eastAsia="Arial" w:hAnsi="Arial"/>
          <w:sz w:val="20"/>
          <w:szCs w:val="20"/>
          <w:color w:val="auto"/>
        </w:rPr>
        <w:t xml:space="preserve">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 examination, post grant review,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204" w:lineRule="exact"/>
        <w:rPr>
          <w:sz w:val="20"/>
          <w:szCs w:val="20"/>
          <w:color w:val="auto"/>
        </w:rPr>
      </w:pPr>
    </w:p>
    <w:p>
      <w:pPr>
        <w:ind w:right="300" w:firstLine="490"/>
        <w:spacing w:after="0" w:line="248" w:lineRule="auto"/>
        <w:rPr>
          <w:sz w:val="20"/>
          <w:szCs w:val="20"/>
          <w:color w:val="auto"/>
        </w:rPr>
      </w:pPr>
      <w:r>
        <w:rPr>
          <w:rFonts w:ascii="Arial" w:cs="Arial" w:eastAsia="Arial" w:hAnsi="Arial"/>
          <w:sz w:val="20"/>
          <w:szCs w:val="20"/>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w:t>
      </w:r>
    </w:p>
    <w:p>
      <w:pPr>
        <w:spacing w:after="0" w:line="198" w:lineRule="exact"/>
        <w:rPr>
          <w:sz w:val="20"/>
          <w:szCs w:val="20"/>
          <w:color w:val="auto"/>
        </w:rPr>
      </w:pPr>
    </w:p>
    <w:p>
      <w:pPr>
        <w:ind w:right="580"/>
        <w:spacing w:after="0" w:line="263" w:lineRule="auto"/>
        <w:rPr>
          <w:sz w:val="20"/>
          <w:szCs w:val="20"/>
          <w:color w:val="auto"/>
        </w:rPr>
      </w:pPr>
      <w:r>
        <w:rPr>
          <w:rFonts w:ascii="Arial" w:cs="Arial" w:eastAsia="Arial" w:hAnsi="Arial"/>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69" w:lineRule="exact"/>
        <w:rPr>
          <w:sz w:val="20"/>
          <w:szCs w:val="20"/>
          <w:color w:val="auto"/>
        </w:rPr>
      </w:pPr>
    </w:p>
    <w:p>
      <w:pPr>
        <w:ind w:right="220" w:firstLine="490"/>
        <w:spacing w:after="0" w:line="247" w:lineRule="auto"/>
        <w:rPr>
          <w:sz w:val="20"/>
          <w:szCs w:val="20"/>
          <w:color w:val="auto"/>
        </w:rPr>
      </w:pPr>
      <w:r>
        <w:rPr>
          <w:rFonts w:ascii="Arial" w:cs="Arial" w:eastAsia="Arial" w:hAnsi="Arial"/>
          <w:sz w:val="20"/>
          <w:szCs w:val="20"/>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and/or other forms of compensation to third parties.</w:t>
      </w:r>
    </w:p>
    <w:p>
      <w:pPr>
        <w:spacing w:after="0" w:line="194"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206"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9360"/>
          </w:cols>
          <w:pgMar w:left="1440" w:top="988" w:right="1440" w:bottom="161" w:gutter="0" w:footer="0" w:header="0"/>
        </w:sectPr>
      </w:pPr>
    </w:p>
    <w:bookmarkStart w:id="72" w:name="page73"/>
    <w:bookmarkEnd w:id="72"/>
    <w:p>
      <w:pPr>
        <w:ind w:right="20"/>
        <w:spacing w:after="0" w:line="282" w:lineRule="auto"/>
        <w:rPr>
          <w:sz w:val="20"/>
          <w:szCs w:val="20"/>
          <w:color w:val="auto"/>
        </w:rPr>
      </w:pPr>
      <w:r>
        <w:rPr>
          <w:rFonts w:ascii="Arial" w:cs="Arial" w:eastAsia="Arial" w:hAnsi="Arial"/>
          <w:sz w:val="20"/>
          <w:szCs w:val="20"/>
          <w:color w:val="auto"/>
        </w:rPr>
        <w:t>parties could have a similar negative impact on our business, financial condition, results of operations and prospects.</w:t>
      </w:r>
    </w:p>
    <w:p>
      <w:pPr>
        <w:spacing w:after="0" w:line="162" w:lineRule="exact"/>
        <w:rPr>
          <w:sz w:val="20"/>
          <w:szCs w:val="20"/>
          <w:color w:val="auto"/>
        </w:rPr>
      </w:pPr>
    </w:p>
    <w:p>
      <w:pPr>
        <w:ind w:right="240"/>
        <w:spacing w:after="0" w:line="288" w:lineRule="auto"/>
        <w:rPr>
          <w:sz w:val="20"/>
          <w:szCs w:val="20"/>
          <w:color w:val="auto"/>
        </w:rPr>
      </w:pPr>
      <w:r>
        <w:rPr>
          <w:rFonts w:ascii="Arial" w:cs="Arial" w:eastAsia="Arial" w:hAnsi="Arial"/>
          <w:sz w:val="20"/>
          <w:szCs w:val="20"/>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45" w:lineRule="exact"/>
        <w:rPr>
          <w:sz w:val="20"/>
          <w:szCs w:val="20"/>
          <w:color w:val="auto"/>
        </w:rPr>
      </w:pPr>
    </w:p>
    <w:p>
      <w:pPr>
        <w:ind w:right="80" w:firstLine="490"/>
        <w:spacing w:after="0" w:line="242" w:lineRule="auto"/>
        <w:rPr>
          <w:sz w:val="20"/>
          <w:szCs w:val="20"/>
          <w:color w:val="auto"/>
        </w:rPr>
      </w:pPr>
      <w:r>
        <w:rPr>
          <w:rFonts w:ascii="Arial" w:cs="Arial" w:eastAsia="Arial" w:hAnsi="Arial"/>
          <w:sz w:val="20"/>
          <w:szCs w:val="20"/>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210" w:lineRule="exact"/>
        <w:rPr>
          <w:sz w:val="20"/>
          <w:szCs w:val="20"/>
          <w:color w:val="auto"/>
        </w:rPr>
      </w:pPr>
    </w:p>
    <w:p>
      <w:pPr>
        <w:ind w:right="620"/>
        <w:spacing w:after="0" w:line="288" w:lineRule="auto"/>
        <w:rPr>
          <w:sz w:val="20"/>
          <w:szCs w:val="20"/>
          <w:color w:val="auto"/>
        </w:rPr>
      </w:pPr>
      <w:r>
        <w:rPr>
          <w:rFonts w:ascii="Arial" w:cs="Arial" w:eastAsia="Arial" w:hAnsi="Arial"/>
          <w:sz w:val="20"/>
          <w:szCs w:val="20"/>
          <w:b w:val="1"/>
          <w:bCs w:val="1"/>
          <w:i w:val="1"/>
          <w:iCs w:val="1"/>
          <w:color w:val="auto"/>
        </w:rPr>
        <w:t>If we are unable to protect the confidentiality of our proprietary information, the value of our technology and products could be adversely affected.</w:t>
      </w:r>
    </w:p>
    <w:p>
      <w:pPr>
        <w:spacing w:after="0" w:line="142" w:lineRule="exact"/>
        <w:rPr>
          <w:sz w:val="20"/>
          <w:szCs w:val="20"/>
          <w:color w:val="auto"/>
        </w:rPr>
      </w:pPr>
    </w:p>
    <w:p>
      <w:pPr>
        <w:ind w:right="40" w:firstLine="490"/>
        <w:spacing w:after="0" w:line="241" w:lineRule="auto"/>
        <w:rPr>
          <w:sz w:val="20"/>
          <w:szCs w:val="20"/>
          <w:color w:val="auto"/>
        </w:rPr>
      </w:pPr>
      <w:r>
        <w:rPr>
          <w:rFonts w:ascii="Arial" w:cs="Arial" w:eastAsia="Arial" w:hAnsi="Arial"/>
          <w:sz w:val="20"/>
          <w:szCs w:val="20"/>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219" w:lineRule="exact"/>
        <w:rPr>
          <w:sz w:val="20"/>
          <w:szCs w:val="20"/>
          <w:color w:val="auto"/>
        </w:rPr>
      </w:pPr>
    </w:p>
    <w:p>
      <w:pPr>
        <w:ind w:right="120" w:firstLine="490"/>
        <w:spacing w:after="0" w:line="267" w:lineRule="auto"/>
        <w:rPr>
          <w:sz w:val="20"/>
          <w:szCs w:val="20"/>
          <w:color w:val="auto"/>
        </w:rPr>
      </w:pPr>
      <w:r>
        <w:rPr>
          <w:rFonts w:ascii="Arial" w:cs="Arial" w:eastAsia="Arial" w:hAnsi="Arial"/>
          <w:sz w:val="19"/>
          <w:szCs w:val="19"/>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 consuming litigation could be necessary to enforce and determine the scope of our proprietary rights, and failure to maintain trade secret protection could adversely affect our competitive business position. In addition, others may</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9360"/>
          </w:cols>
          <w:pgMar w:left="1440" w:top="988" w:right="1440" w:bottom="161" w:gutter="0" w:footer="0" w:header="0"/>
        </w:sectPr>
      </w:pPr>
    </w:p>
    <w:bookmarkStart w:id="73" w:name="page74"/>
    <w:bookmarkEnd w:id="73"/>
    <w:p>
      <w:pPr>
        <w:ind w:right="20"/>
        <w:spacing w:after="0" w:line="248" w:lineRule="auto"/>
        <w:rPr>
          <w:sz w:val="20"/>
          <w:szCs w:val="20"/>
          <w:color w:val="auto"/>
        </w:rPr>
      </w:pPr>
      <w:r>
        <w:rPr>
          <w:rFonts w:ascii="Arial" w:cs="Arial" w:eastAsia="Arial" w:hAnsi="Arial"/>
          <w:sz w:val="20"/>
          <w:szCs w:val="20"/>
          <w:color w:val="auto"/>
        </w:rPr>
        <w:t>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20"/>
          <w:szCs w:val="20"/>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9"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Many of our directors,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 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7"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In addition, while it is our policy to require our employees, consultants, advisors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06"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5" w:lineRule="exact"/>
        <w:rPr>
          <w:sz w:val="20"/>
          <w:szCs w:val="20"/>
          <w:color w:val="auto"/>
        </w:rPr>
      </w:pPr>
    </w:p>
    <w:p>
      <w:pPr>
        <w:ind w:firstLine="490"/>
        <w:spacing w:after="0" w:line="243" w:lineRule="auto"/>
        <w:rPr>
          <w:sz w:val="20"/>
          <w:szCs w:val="20"/>
          <w:color w:val="auto"/>
        </w:rPr>
      </w:pPr>
      <w:r>
        <w:rPr>
          <w:rFonts w:ascii="Arial" w:cs="Arial" w:eastAsia="Arial" w:hAnsi="Arial"/>
          <w:sz w:val="20"/>
          <w:szCs w:val="20"/>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8" w:lineRule="exact"/>
        <w:rPr>
          <w:sz w:val="20"/>
          <w:szCs w:val="20"/>
          <w:color w:val="auto"/>
        </w:rPr>
      </w:pPr>
    </w:p>
    <w:p>
      <w:pPr>
        <w:ind w:right="600"/>
        <w:spacing w:after="0" w:line="316" w:lineRule="auto"/>
        <w:rPr>
          <w:sz w:val="20"/>
          <w:szCs w:val="20"/>
          <w:color w:val="auto"/>
        </w:rPr>
      </w:pPr>
      <w:r>
        <w:rPr>
          <w:rFonts w:ascii="Arial" w:cs="Arial" w:eastAsia="Arial" w:hAnsi="Arial"/>
          <w:sz w:val="19"/>
          <w:szCs w:val="19"/>
          <w:b w:val="1"/>
          <w:bCs w:val="1"/>
          <w:i w:val="1"/>
          <w:iCs w:val="1"/>
          <w:color w:val="auto"/>
        </w:rPr>
        <w:t>Collaborations with third parties, including academic collaborations, may limit our ability to obtain, maintain, enforce or defend intellectual property necessary to conduct our business.</w:t>
      </w:r>
    </w:p>
    <w:p>
      <w:pPr>
        <w:spacing w:after="0" w:line="119" w:lineRule="exact"/>
        <w:rPr>
          <w:sz w:val="20"/>
          <w:szCs w:val="20"/>
          <w:color w:val="auto"/>
        </w:rPr>
      </w:pPr>
    </w:p>
    <w:p>
      <w:pPr>
        <w:ind w:right="220" w:firstLine="490"/>
        <w:spacing w:after="0" w:line="254" w:lineRule="auto"/>
        <w:rPr>
          <w:sz w:val="20"/>
          <w:szCs w:val="20"/>
          <w:color w:val="auto"/>
        </w:rPr>
      </w:pPr>
      <w:r>
        <w:rPr>
          <w:rFonts w:ascii="Arial" w:cs="Arial" w:eastAsia="Arial" w:hAnsi="Arial"/>
          <w:sz w:val="20"/>
          <w:szCs w:val="20"/>
          <w:color w:val="auto"/>
        </w:rPr>
        <w:t>We may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9360"/>
          </w:cols>
          <w:pgMar w:left="1440" w:top="988" w:right="1440" w:bottom="161" w:gutter="0" w:footer="0" w:header="0"/>
        </w:sectPr>
      </w:pPr>
    </w:p>
    <w:bookmarkStart w:id="74" w:name="page75"/>
    <w:bookmarkEnd w:id="74"/>
    <w:p>
      <w:pPr>
        <w:ind w:right="440"/>
        <w:spacing w:after="0" w:line="260" w:lineRule="auto"/>
        <w:rPr>
          <w:sz w:val="20"/>
          <w:szCs w:val="20"/>
          <w:color w:val="auto"/>
        </w:rPr>
      </w:pPr>
      <w:r>
        <w:rPr>
          <w:rFonts w:ascii="Arial" w:cs="Arial" w:eastAsia="Arial" w:hAnsi="Arial"/>
          <w:sz w:val="20"/>
          <w:szCs w:val="20"/>
          <w:color w:val="auto"/>
        </w:rPr>
        <w:t>within the specified timeframe or under terms that are acceptable to us. If we are unable to do so, the institution may offer the intellectual property rights to other parties, potentially blocking our ability to develop our program.</w:t>
      </w:r>
    </w:p>
    <w:p>
      <w:pPr>
        <w:spacing w:after="0" w:line="181"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In some circumstances, particularly in-licenses with academic institutions, we may not have the right to control the preparation, filing and prosecution of patent applications, or to maintain, enforce or defend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certain circumstances, we have or may license technology from third parties on a non-exclusive basis. In such instances, other licensees may have the right to enforce our licensed patents in their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In addition to the foregoing, the risks associated with patent rights that we license from third parties will also apply to patent rights we own or may own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 rights do not necessarily address all potential threats.</w:t>
      </w:r>
    </w:p>
    <w:p>
      <w:pPr>
        <w:spacing w:after="0" w:line="236" w:lineRule="exact"/>
        <w:rPr>
          <w:sz w:val="20"/>
          <w:szCs w:val="20"/>
          <w:color w:val="auto"/>
        </w:rPr>
      </w:pPr>
    </w:p>
    <w:p>
      <w:pPr>
        <w:ind w:right="280" w:firstLine="490"/>
        <w:spacing w:after="0" w:line="260"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4" w:lineRule="exact"/>
        <w:rPr>
          <w:sz w:val="20"/>
          <w:szCs w:val="20"/>
          <w:color w:val="auto"/>
        </w:rPr>
      </w:pPr>
    </w:p>
    <w:p>
      <w:pPr>
        <w:ind w:left="980" w:right="20" w:hanging="490"/>
        <w:spacing w:after="0" w:line="285"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others may be able to make products that are similar to our product candidates but that are not covered by the claims of the patents that we own or license or may own in the future;</w:t>
      </w:r>
    </w:p>
    <w:p>
      <w:pPr>
        <w:spacing w:after="0" w:line="169" w:lineRule="exact"/>
        <w:rPr>
          <w:rFonts w:ascii="Arial" w:cs="Arial" w:eastAsia="Arial" w:hAnsi="Arial"/>
          <w:sz w:val="20"/>
          <w:szCs w:val="20"/>
          <w:color w:val="auto"/>
        </w:rPr>
      </w:pPr>
    </w:p>
    <w:p>
      <w:pPr>
        <w:ind w:left="980" w:right="200" w:hanging="490"/>
        <w:spacing w:after="0" w:line="261"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or any partners or collaborators, might not have been the first to make the inventions covered by the issued patent or pending patent application that we license or may own in the future;</w:t>
      </w:r>
    </w:p>
    <w:p>
      <w:pPr>
        <w:spacing w:after="0" w:line="193" w:lineRule="exact"/>
        <w:rPr>
          <w:rFonts w:ascii="Arial" w:cs="Arial" w:eastAsia="Arial" w:hAnsi="Arial"/>
          <w:sz w:val="20"/>
          <w:szCs w:val="20"/>
          <w:color w:val="auto"/>
        </w:rPr>
      </w:pPr>
    </w:p>
    <w:p>
      <w:pPr>
        <w:ind w:left="980" w:right="340" w:hanging="490"/>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or any partners or collaborators, might not have been the first to file patent applications covering certain of our or their inventions;</w:t>
      </w:r>
    </w:p>
    <w:p>
      <w:pPr>
        <w:spacing w:after="0" w:line="172" w:lineRule="exact"/>
        <w:rPr>
          <w:rFonts w:ascii="Arial" w:cs="Arial" w:eastAsia="Arial" w:hAnsi="Arial"/>
          <w:sz w:val="20"/>
          <w:szCs w:val="20"/>
          <w:color w:val="auto"/>
        </w:rPr>
      </w:pPr>
    </w:p>
    <w:p>
      <w:pPr>
        <w:ind w:left="980" w:right="280" w:hanging="490"/>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owned or licensed intellectual property rights;</w:t>
      </w:r>
    </w:p>
    <w:p>
      <w:pPr>
        <w:spacing w:after="0" w:line="172" w:lineRule="exact"/>
        <w:rPr>
          <w:rFonts w:ascii="Arial" w:cs="Arial" w:eastAsia="Arial" w:hAnsi="Arial"/>
          <w:sz w:val="20"/>
          <w:szCs w:val="20"/>
          <w:color w:val="auto"/>
        </w:rPr>
      </w:pPr>
    </w:p>
    <w:p>
      <w:pPr>
        <w:ind w:left="980" w:right="400" w:hanging="490"/>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it is possible that our pending licensed patent applications or those that we may own in the future will not lead to issued patents;</w:t>
      </w:r>
    </w:p>
    <w:p>
      <w:pPr>
        <w:spacing w:after="0" w:line="172" w:lineRule="exact"/>
        <w:rPr>
          <w:rFonts w:ascii="Arial" w:cs="Arial" w:eastAsia="Arial" w:hAnsi="Arial"/>
          <w:sz w:val="20"/>
          <w:szCs w:val="20"/>
          <w:color w:val="auto"/>
        </w:rPr>
      </w:pPr>
    </w:p>
    <w:p>
      <w:pPr>
        <w:ind w:left="980" w:right="540" w:hanging="490"/>
        <w:spacing w:after="0" w:line="285"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issued patents that we hold rights to may be held invalid or unenforceable, including as a result of legal challenges by our competitors;</w:t>
      </w:r>
    </w:p>
    <w:p>
      <w:pPr>
        <w:spacing w:after="0" w:line="169" w:lineRule="exact"/>
        <w:rPr>
          <w:rFonts w:ascii="Arial" w:cs="Arial" w:eastAsia="Arial" w:hAnsi="Arial"/>
          <w:sz w:val="20"/>
          <w:szCs w:val="20"/>
          <w:color w:val="auto"/>
        </w:rPr>
      </w:pPr>
    </w:p>
    <w:p>
      <w:pPr>
        <w:ind w:left="980" w:right="200" w:hanging="490"/>
        <w:spacing w:after="0" w:line="261"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3" w:lineRule="exact"/>
        <w:rPr>
          <w:rFonts w:ascii="Arial" w:cs="Arial" w:eastAsia="Arial" w:hAnsi="Arial"/>
          <w:sz w:val="20"/>
          <w:szCs w:val="20"/>
          <w:color w:val="auto"/>
        </w:rPr>
      </w:pPr>
    </w:p>
    <w:p>
      <w:pPr>
        <w:ind w:left="980" w:hanging="490"/>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patents of others may have an adverse effect on our business; and</w:t>
      </w:r>
    </w:p>
    <w:p>
      <w:pPr>
        <w:spacing w:after="0" w:line="254" w:lineRule="exact"/>
        <w:rPr>
          <w:rFonts w:ascii="Arial" w:cs="Arial" w:eastAsia="Arial" w:hAnsi="Arial"/>
          <w:sz w:val="20"/>
          <w:szCs w:val="20"/>
          <w:color w:val="auto"/>
        </w:rPr>
      </w:pPr>
    </w:p>
    <w:p>
      <w:pPr>
        <w:ind w:left="980" w:right="20" w:hanging="490"/>
        <w:spacing w:after="0" w:line="282" w:lineRule="auto"/>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may choose not to file a patent for certain trade secrets or know-how, and a third party may subsequently file a patent covering such intellectual property.</w:t>
      </w:r>
    </w:p>
    <w:p>
      <w:pPr>
        <w:spacing w:after="0" w:line="160" w:lineRule="exact"/>
        <w:rPr>
          <w:sz w:val="20"/>
          <w:szCs w:val="20"/>
          <w:color w:val="auto"/>
        </w:rPr>
      </w:pPr>
    </w:p>
    <w:p>
      <w:pPr>
        <w:ind w:right="340" w:firstLine="490"/>
        <w:spacing w:after="0" w:line="282" w:lineRule="auto"/>
        <w:rPr>
          <w:sz w:val="20"/>
          <w:szCs w:val="20"/>
          <w:color w:val="auto"/>
        </w:rPr>
      </w:pPr>
      <w:r>
        <w:rPr>
          <w:rFonts w:ascii="Arial" w:cs="Arial" w:eastAsia="Arial" w:hAnsi="Arial"/>
          <w:sz w:val="20"/>
          <w:szCs w:val="20"/>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9360"/>
          </w:cols>
          <w:pgMar w:left="1440" w:top="988" w:right="1440" w:bottom="161"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u w:val="single" w:color="auto"/>
          <w:color w:val="auto"/>
        </w:rPr>
        <w:t>Risks Related to Information Technology and Data Privacy</w:t>
      </w:r>
    </w:p>
    <w:p>
      <w:pPr>
        <w:spacing w:after="0" w:line="248"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b w:val="1"/>
          <w:bCs w:val="1"/>
          <w:i w:val="1"/>
          <w:iCs w:val="1"/>
          <w:color w:val="auto"/>
        </w:rPr>
        <w:t>We depend on our information technology systems, and any failure of these systems could harm our business. Cybersecurity incidents, data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3"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 -attacks or cyber-intrusions, phishing, persons inside our organization or persons with access to systems inside our organization.</w:t>
      </w:r>
    </w:p>
    <w:p>
      <w:pPr>
        <w:spacing w:after="0" w:line="199" w:lineRule="exact"/>
        <w:rPr>
          <w:sz w:val="20"/>
          <w:szCs w:val="20"/>
          <w:color w:val="auto"/>
        </w:rPr>
      </w:pPr>
    </w:p>
    <w:p>
      <w:pPr>
        <w:ind w:right="20" w:firstLine="490"/>
        <w:spacing w:after="0" w:line="241" w:lineRule="auto"/>
        <w:rPr>
          <w:sz w:val="20"/>
          <w:szCs w:val="20"/>
          <w:color w:val="auto"/>
        </w:rPr>
      </w:pPr>
      <w:r>
        <w:rPr>
          <w:rFonts w:ascii="Arial" w:cs="Arial" w:eastAsia="Arial" w:hAnsi="Arial"/>
          <w:sz w:val="20"/>
          <w:szCs w:val="20"/>
          <w:color w:val="auto"/>
        </w:rPr>
        <w:t>We, like other organizations in our industry, may experience cybersecurity incidents. The risk of cybersecurity incidents, data breaches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impacted stakeholders (including affected individuals, regulators and investors pursuant to various federal and state privacy and security laws, if applicable, including the Health Insurance Portability and Accountability Act of 1996, as amended ("HIPAA"),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218" w:lineRule="exact"/>
        <w:rPr>
          <w:sz w:val="20"/>
          <w:szCs w:val="20"/>
          <w:color w:val="auto"/>
        </w:rPr>
      </w:pPr>
    </w:p>
    <w:p>
      <w:pPr>
        <w:ind w:right="140" w:firstLine="490"/>
        <w:spacing w:after="0" w:line="245" w:lineRule="auto"/>
        <w:rPr>
          <w:sz w:val="20"/>
          <w:szCs w:val="20"/>
          <w:color w:val="auto"/>
        </w:rPr>
      </w:pPr>
      <w:r>
        <w:rPr>
          <w:rFonts w:ascii="Arial" w:cs="Arial" w:eastAsia="Arial" w:hAnsi="Arial"/>
          <w:sz w:val="20"/>
          <w:szCs w:val="20"/>
          <w:color w:val="auto"/>
        </w:rPr>
        <w:t>We are or may become subject to other U.S. federal and state laws governing the privacy and security of health information, many of which differ from each other in significant ways and may not be preempted by HIPAA. For example, the California Consumer Privacy Act (CCPA) created individual privacy rights for California residents, including requiring covered businesses to provide notice regarding how personal information is collected and how individuals can limit the sharing of their personal information. The California Privacy Rights Act (CPRA) amended the CCPA and requires specific disclosures and safeguarding requirements around sensitive personal information. The CPRA also establishes a state agency vested with the authority to enforce the CCPA. The CCPA also applies to</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9360"/>
          </w:cols>
          <w:pgMar w:left="1440" w:top="984" w:right="1440" w:bottom="161" w:gutter="0" w:footer="0" w:header="0"/>
        </w:sectPr>
      </w:pPr>
    </w:p>
    <w:bookmarkStart w:id="76" w:name="page77"/>
    <w:bookmarkEnd w:id="76"/>
    <w:p>
      <w:pPr>
        <w:ind w:right="20"/>
        <w:spacing w:after="0" w:line="253" w:lineRule="auto"/>
        <w:rPr>
          <w:sz w:val="20"/>
          <w:szCs w:val="20"/>
          <w:color w:val="auto"/>
        </w:rPr>
      </w:pPr>
      <w:r>
        <w:rPr>
          <w:rFonts w:ascii="Arial" w:cs="Arial" w:eastAsia="Arial" w:hAnsi="Arial"/>
          <w:sz w:val="20"/>
          <w:szCs w:val="20"/>
          <w:color w:val="auto"/>
        </w:rPr>
        <w:t>personal information collected about employees, applicants and retirees, as well as that which is collected in a business-to-business capacity. While there is currently an exception in the CCPA for protected health information that is subject to HIPAA, the CCPA may nevertheless impact our data use and sharing practices and require significant investment in our effort to comply with its obligations.</w:t>
      </w:r>
    </w:p>
    <w:p>
      <w:pPr>
        <w:spacing w:after="0" w:line="190"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More than a dozen other U.S. states have enacted legislation similar to the CCPA, but contain key differences in their scope, application, and enforcement. Clear enforcement guidelines, as well as associated penalties for noncompliance, are likely to be unpredictable for the foreseeable future. Moreover, certain states have advanced privacy laws focused on protecting consumer health information, such as Washington’s My Health My Data Act, which contains a private right of action and my increase the risk of litigation. and this remains a rapidly changing legislative and regulatory environment. Any actual or perceived noncompliance with privacy and data protection laws by us or our partners may damage to our reputation, lead to loss of existing or future business, require us to change our data practices and increase our expenses related to litigation and compliance ongoing compliance, any of which could adversely affect our business, results of operations and financial condition.</w:t>
      </w:r>
    </w:p>
    <w:p>
      <w:pPr>
        <w:spacing w:after="0" w:line="202"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In December 2024, the U.S. Department of Justice issued regulations implementing Executive Order (“EO”) 14117, “Preventing Access to Americans’ Bulk Sensitive Personal Data and United Stated Government-Related Data by Countries of Concern,” which became effective in April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b w:val="1"/>
          <w:b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174" w:lineRule="exact"/>
        <w:rPr>
          <w:sz w:val="20"/>
          <w:szCs w:val="20"/>
          <w:color w:val="auto"/>
        </w:rPr>
      </w:pPr>
    </w:p>
    <w:p>
      <w:pPr>
        <w:ind w:right="200" w:firstLine="490"/>
        <w:spacing w:after="0" w:line="248" w:lineRule="auto"/>
        <w:rPr>
          <w:sz w:val="20"/>
          <w:szCs w:val="20"/>
          <w:color w:val="auto"/>
        </w:rPr>
      </w:pPr>
      <w:r>
        <w:rPr>
          <w:rFonts w:ascii="Arial" w:cs="Arial" w:eastAsia="Arial" w:hAnsi="Arial"/>
          <w:sz w:val="20"/>
          <w:szCs w:val="20"/>
          <w:color w:val="auto"/>
        </w:rPr>
        <w:t>We may use and integrate artificial intelligence into our business processes. Use of this rapidly evolving technology will require the application of significant resources to design, develop, test, and maintain such systems to help ensure that artificial intelligence is implemented in accordance with applicable law and in a socially responsible manner. If we enable or use solutions that draw controversy due to perceived or actual negative societal impact, we may experience brand or reputational harm, competitive harm, or legal liability.</w:t>
      </w:r>
    </w:p>
    <w:p>
      <w:pPr>
        <w:spacing w:after="0" w:line="194"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206"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Additionally,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 making. If we develop or use AI systems governed by these laws or regulations, including as informed by regulatory guidance, we will need to meet higher standards of data quality, transparency, monitoring, and human oversight, and we would need to adhere to specific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9360"/>
          </w:cols>
          <w:pgMar w:left="1440" w:top="988" w:right="1440" w:bottom="161" w:gutter="0" w:footer="0" w:header="0"/>
        </w:sectPr>
      </w:pPr>
    </w:p>
    <w:bookmarkStart w:id="77" w:name="page78"/>
    <w:bookmarkEnd w:id="77"/>
    <w:p>
      <w:pPr>
        <w:ind w:right="240"/>
        <w:spacing w:after="0" w:line="282" w:lineRule="auto"/>
        <w:rPr>
          <w:sz w:val="20"/>
          <w:szCs w:val="20"/>
          <w:color w:val="auto"/>
        </w:rPr>
      </w:pPr>
      <w:r>
        <w:rPr>
          <w:rFonts w:ascii="Arial" w:cs="Arial" w:eastAsia="Arial" w:hAnsi="Arial"/>
          <w:sz w:val="20"/>
          <w:szCs w:val="20"/>
          <w:color w:val="auto"/>
        </w:rPr>
        <w:t>and potentially burdensome and costly ethical, accountability, and administrative requirements, with the potential for significant enforcement or litigation in the event of any perceived non-compliance.</w:t>
      </w:r>
    </w:p>
    <w:p>
      <w:pPr>
        <w:spacing w:after="0" w:line="158" w:lineRule="exact"/>
        <w:rPr>
          <w:sz w:val="20"/>
          <w:szCs w:val="20"/>
          <w:color w:val="auto"/>
        </w:rPr>
      </w:pPr>
    </w:p>
    <w:p>
      <w:pPr>
        <w:ind w:right="100" w:firstLine="490"/>
        <w:spacing w:after="0" w:line="247" w:lineRule="auto"/>
        <w:rPr>
          <w:sz w:val="20"/>
          <w:szCs w:val="20"/>
          <w:color w:val="auto"/>
        </w:rPr>
      </w:pPr>
      <w:r>
        <w:rPr>
          <w:rFonts w:ascii="Arial" w:cs="Arial" w:eastAsia="Arial" w:hAnsi="Arial"/>
          <w:sz w:val="20"/>
          <w:szCs w:val="20"/>
          <w:color w:val="auto"/>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global threat actors are using increasingly sophisticated methods, including artificial intelligence, to engage in the theft and misuse of confidential information and proprietary information. Any of these effects could damage our reputation, result in the loss of valuable property and information, cause us to breach applicable laws and regulations, and adversely impact our business.</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i w:val="1"/>
          <w:iCs w:val="1"/>
          <w:color w:val="auto"/>
        </w:rPr>
        <w:t>European data collection is governed by restrictive regulations governing the use, processing and cross-border transfer of personal information.</w:t>
      </w:r>
    </w:p>
    <w:p>
      <w:pPr>
        <w:spacing w:after="0" w:line="145"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In the event we decide to conduct clinical trials in the EEA or the UK or enroll subjects residing in the EEA or the UK in our future clinical trials, we may be subject to additional privacy restrictions. The collection, use, storage, disclosure, transfer, or other processing of personal data regarding individuals in the EEA, including personal health data, is subject to the EU General Data Protection Regulation (“EU GDPR”). EU GDPR has been incorporated into U.K. domestic law by virtue of section 3 of the European Union (Withdrawal) Act 2018 and amended by the Data Protection, Privacy and Electronic Communications (Amendments etc.) (EU Exit) Regulations 2019 (“U.K. GDPR”, together with the EU GDPR referred to as “GDPR”). The GDPR is wide-ranging in scope and imposes numerous requirements on companies that process personal data, including requirements relating to the processing of sensitive data (such as health data), obtaining consent of the individuals to whom the personal data relates or ensuring another legal basis or condition applies to the processing of personal data, providing information to individuals regarding data processing activities, implementing safeguards to protect the security and confidentiality of personal data, where required providing notification of data breaches, requiring data protection impact assessments for high risk processing and taking certain measures when engaging third-party processors. The GDPR also imposes strict rules on the transfer of personal data to countries outside the EEA or the U.K. (see below),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200" w:lineRule="exact"/>
        <w:rPr>
          <w:sz w:val="20"/>
          <w:szCs w:val="20"/>
          <w:color w:val="auto"/>
        </w:rPr>
      </w:pPr>
    </w:p>
    <w:p>
      <w:pPr>
        <w:ind w:right="100" w:firstLine="490"/>
        <w:spacing w:after="0" w:line="244" w:lineRule="auto"/>
        <w:rPr>
          <w:sz w:val="20"/>
          <w:szCs w:val="20"/>
          <w:color w:val="auto"/>
        </w:rPr>
      </w:pPr>
      <w:r>
        <w:rPr>
          <w:rFonts w:ascii="Arial" w:cs="Arial" w:eastAsia="Arial" w:hAnsi="Arial"/>
          <w:sz w:val="20"/>
          <w:szCs w:val="20"/>
          <w:color w:val="auto"/>
        </w:rPr>
        <w:t>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The U.K. plans to reform the country’s data protection legal framework in its Data Use and Access Bill, which was introduced into the U.K. legislative process on October 23, 2024 and, if passed, will introduce significant changes. This may lead to additional compliance costs and could increase our overall risk exposure as we may no longer be able to take a unified approach across the EU and the U.K.</w:t>
      </w:r>
    </w:p>
    <w:p>
      <w:pPr>
        <w:spacing w:after="0" w:line="198"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The GDPR includes restrictions on cross- border data transfers. Adequate safeguards must be implemented to enable the transfer of personal data outside of the EEA or the U.K., in particular to the U.S., in compliance with European and U.K. data protection laws. On June 4, 2021, the European Commission (“EC”) issued new forms of standard contractual clauses for data transfers from controllers or processors in the EEA (or otherwise subject to the EU GDPR) to controllers or processors established outside the EEA (and not subject to the EU GDPR). The U.K. is not subject to the EC’s new standard contractual clauses but has published its own version of standard clauses, referred to as “International Data Transfer Agreement” which entered into force on 21 March 2022 and enables transfers originating from the U.K. The U.K. Government has confirmed that transfers from the U.K. to the EEA may currently continue to flow freely. Transfers made pursuant to these new mechanisms need to be assessed on a case-by-case basis to ensure the law in the recipient country provides “essentially equivalent” protections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9360"/>
          </w:cols>
          <w:pgMar w:left="1440" w:top="988" w:right="1440" w:bottom="161" w:gutter="0" w:footer="0" w:header="0"/>
        </w:sectPr>
      </w:pPr>
    </w:p>
    <w:bookmarkStart w:id="78" w:name="page79"/>
    <w:bookmarkEnd w:id="78"/>
    <w:p>
      <w:pPr>
        <w:ind w:right="100"/>
        <w:spacing w:after="0" w:line="244" w:lineRule="auto"/>
        <w:rPr>
          <w:sz w:val="20"/>
          <w:szCs w:val="20"/>
          <w:color w:val="auto"/>
        </w:rPr>
      </w:pPr>
      <w:r>
        <w:rPr>
          <w:rFonts w:ascii="Arial" w:cs="Arial" w:eastAsia="Arial" w:hAnsi="Arial"/>
          <w:sz w:val="20"/>
          <w:szCs w:val="20"/>
          <w:color w:val="auto"/>
        </w:rPr>
        <w:t>to safeguard the transferred personal data as the EU, and businesses are required to adopt supplementary measures if such standard is not met. Further, the EU has adopted its adequacy decision for the EU-U.S. Data Privacy Framework ("Framework"), which entered into force on July 11, 2023. This Framework provides that the protection of personal data transferred from the EU to companies which are certified to the Framework in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We will be required to implement these new safeguards when conducting restricted data transfers under the GDPR and doing so will require significant effort and cost.</w:t>
      </w:r>
    </w:p>
    <w:p>
      <w:pPr>
        <w:spacing w:after="0" w:line="202" w:lineRule="exact"/>
        <w:rPr>
          <w:sz w:val="20"/>
          <w:szCs w:val="20"/>
          <w:color w:val="auto"/>
        </w:rPr>
      </w:pPr>
    </w:p>
    <w:p>
      <w:pPr>
        <w:ind w:right="120" w:firstLine="490"/>
        <w:spacing w:after="0" w:line="254" w:lineRule="auto"/>
        <w:rPr>
          <w:sz w:val="20"/>
          <w:szCs w:val="20"/>
          <w:color w:val="auto"/>
        </w:rPr>
      </w:pPr>
      <w:r>
        <w:rPr>
          <w:rFonts w:ascii="Arial" w:cs="Arial" w:eastAsia="Arial" w:hAnsi="Arial"/>
          <w:sz w:val="20"/>
          <w:szCs w:val="20"/>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Our Work with Third Parties</w:t>
      </w:r>
    </w:p>
    <w:p>
      <w:pPr>
        <w:spacing w:after="0" w:line="248" w:lineRule="exact"/>
        <w:rPr>
          <w:sz w:val="20"/>
          <w:szCs w:val="20"/>
          <w:color w:val="auto"/>
        </w:rPr>
      </w:pPr>
    </w:p>
    <w:p>
      <w:pPr>
        <w:ind w:right="220"/>
        <w:spacing w:after="0" w:line="249" w:lineRule="auto"/>
        <w:rPr>
          <w:sz w:val="20"/>
          <w:szCs w:val="20"/>
          <w:color w:val="auto"/>
        </w:rPr>
      </w:pPr>
      <w:r>
        <w:rPr>
          <w:rFonts w:ascii="Arial" w:cs="Arial" w:eastAsia="Arial" w:hAnsi="Arial"/>
          <w:sz w:val="20"/>
          <w:szCs w:val="20"/>
          <w:b w:val="1"/>
          <w:bCs w:val="1"/>
          <w:i w:val="1"/>
          <w:iCs w:val="1"/>
          <w:color w:val="auto"/>
        </w:rPr>
        <w:t>We rely or will rely on third parties to help conduct our ongoing and planned preclinical studies and clinical trials for our current product candidates and any future product candidates we develop. If these third parties do not successfully carry out their contractual duties, comply with regulatory requirements or meet expected deadlines, we may not be able to obtain marketing approval for or commercialize our current product candidates and any current or future product candidates we develop and our business could be materially harmed.</w:t>
      </w:r>
    </w:p>
    <w:p>
      <w:pPr>
        <w:spacing w:after="0" w:line="185"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We currently do not have the ability to independently conduct preclinical studies that comply with the regulatory requirements known as current good laboratory practice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 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204" w:lineRule="exact"/>
        <w:rPr>
          <w:sz w:val="20"/>
          <w:szCs w:val="20"/>
          <w:color w:val="auto"/>
        </w:rPr>
      </w:pPr>
    </w:p>
    <w:p>
      <w:pPr>
        <w:ind w:right="20" w:firstLine="490"/>
        <w:spacing w:after="0" w:line="257" w:lineRule="auto"/>
        <w:rPr>
          <w:sz w:val="20"/>
          <w:szCs w:val="20"/>
          <w:color w:val="auto"/>
        </w:rPr>
      </w:pPr>
      <w:r>
        <w:rPr>
          <w:rFonts w:ascii="Arial" w:cs="Arial" w:eastAsia="Arial" w:hAnsi="Arial"/>
          <w:sz w:val="19"/>
          <w:szCs w:val="19"/>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unilaterally terminate their agreements with us. If the third parties conducting our preclinical studies or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9360"/>
          </w:cols>
          <w:pgMar w:left="1440" w:top="988" w:right="1440" w:bottom="161" w:gutter="0" w:footer="0" w:header="0"/>
        </w:sectPr>
      </w:pPr>
    </w:p>
    <w:bookmarkStart w:id="79" w:name="page80"/>
    <w:bookmarkEnd w:id="79"/>
    <w:p>
      <w:pPr>
        <w:ind w:right="40"/>
        <w:spacing w:after="0" w:line="282" w:lineRule="auto"/>
        <w:rPr>
          <w:sz w:val="20"/>
          <w:szCs w:val="20"/>
          <w:color w:val="auto"/>
        </w:rPr>
      </w:pPr>
      <w:r>
        <w:rPr>
          <w:rFonts w:ascii="Arial" w:cs="Arial" w:eastAsia="Arial" w:hAnsi="Arial"/>
          <w:sz w:val="20"/>
          <w:szCs w:val="20"/>
          <w:color w:val="auto"/>
        </w:rPr>
        <w:t>product candidates would be harmed, our costs could increase and our ability to generate revenues could be delayed.</w:t>
      </w:r>
    </w:p>
    <w:p>
      <w:pPr>
        <w:spacing w:after="0" w:line="162" w:lineRule="exact"/>
        <w:rPr>
          <w:sz w:val="20"/>
          <w:szCs w:val="20"/>
          <w:color w:val="auto"/>
        </w:rPr>
      </w:pPr>
    </w:p>
    <w:p>
      <w:pPr>
        <w:ind w:right="320"/>
        <w:spacing w:after="0" w:line="256" w:lineRule="auto"/>
        <w:rPr>
          <w:sz w:val="20"/>
          <w:szCs w:val="20"/>
          <w:color w:val="auto"/>
        </w:rPr>
      </w:pPr>
      <w:r>
        <w:rPr>
          <w:rFonts w:ascii="Arial" w:cs="Arial" w:eastAsia="Arial" w:hAnsi="Arial"/>
          <w:sz w:val="20"/>
          <w:szCs w:val="20"/>
          <w:b w:val="1"/>
          <w:bCs w:val="1"/>
          <w:i w:val="1"/>
          <w:iCs w:val="1"/>
          <w:color w:val="auto"/>
        </w:rPr>
        <w:t>We may depend on other third- 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76" w:lineRule="exact"/>
        <w:rPr>
          <w:sz w:val="20"/>
          <w:szCs w:val="20"/>
          <w:color w:val="auto"/>
        </w:rPr>
      </w:pPr>
    </w:p>
    <w:p>
      <w:pPr>
        <w:ind w:right="20" w:firstLine="490"/>
        <w:spacing w:after="0" w:line="253" w:lineRule="auto"/>
        <w:rPr>
          <w:sz w:val="20"/>
          <w:szCs w:val="20"/>
          <w:color w:val="auto"/>
        </w:rPr>
      </w:pPr>
      <w:r>
        <w:rPr>
          <w:rFonts w:ascii="Arial" w:cs="Arial" w:eastAsia="Arial" w:hAnsi="Arial"/>
          <w:sz w:val="20"/>
          <w:szCs w:val="20"/>
          <w:color w:val="auto"/>
        </w:rPr>
        <w:t>In the future, we may form or seek other strategic alliances, joint ventures or collaborations, or enter into licensing arrangements with third parties that we believe will complement or augment our development and commercialization efforts with respect to product candidates we develop. Such potential future collaborations involving our product candidates may pose various risks to us, including:</w:t>
      </w:r>
    </w:p>
    <w:p>
      <w:pPr>
        <w:spacing w:after="0" w:line="202" w:lineRule="exact"/>
        <w:rPr>
          <w:sz w:val="20"/>
          <w:szCs w:val="20"/>
          <w:color w:val="auto"/>
        </w:rPr>
      </w:pPr>
    </w:p>
    <w:p>
      <w:pPr>
        <w:ind w:left="980" w:right="60" w:hanging="490"/>
        <w:spacing w:after="0" w:line="285"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have significant discretion in determining the efforts and resources that they will apply to these collaborations;</w:t>
      </w:r>
    </w:p>
    <w:p>
      <w:pPr>
        <w:spacing w:after="0" w:line="169" w:lineRule="exact"/>
        <w:rPr>
          <w:rFonts w:ascii="Arial" w:cs="Arial" w:eastAsia="Arial" w:hAnsi="Arial"/>
          <w:sz w:val="20"/>
          <w:szCs w:val="20"/>
          <w:color w:val="auto"/>
        </w:rPr>
      </w:pPr>
    </w:p>
    <w:p>
      <w:pPr>
        <w:ind w:left="980" w:right="820" w:hanging="490"/>
        <w:spacing w:after="0" w:line="282"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could independently develop, or develop with third parties, products that compete directly or indirectly with our products or product candidates;</w:t>
      </w:r>
    </w:p>
    <w:p>
      <w:pPr>
        <w:spacing w:after="0" w:line="172" w:lineRule="exact"/>
        <w:rPr>
          <w:rFonts w:ascii="Arial" w:cs="Arial" w:eastAsia="Arial" w:hAnsi="Arial"/>
          <w:sz w:val="20"/>
          <w:szCs w:val="20"/>
          <w:color w:val="auto"/>
        </w:rPr>
      </w:pPr>
    </w:p>
    <w:p>
      <w:pPr>
        <w:ind w:left="980" w:right="60" w:hanging="490"/>
        <w:spacing w:after="0" w:line="254"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200" w:lineRule="exact"/>
        <w:rPr>
          <w:rFonts w:ascii="Arial" w:cs="Arial" w:eastAsia="Arial" w:hAnsi="Arial"/>
          <w:sz w:val="20"/>
          <w:szCs w:val="20"/>
          <w:color w:val="auto"/>
        </w:rPr>
      </w:pPr>
    </w:p>
    <w:p>
      <w:pPr>
        <w:ind w:left="980" w:right="80" w:hanging="490"/>
        <w:spacing w:after="0" w:line="282"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collaborators may infringe the intellectual property rights of third parties, which may expose us to litigation and potential liability;</w:t>
      </w:r>
    </w:p>
    <w:p>
      <w:pPr>
        <w:spacing w:after="0" w:line="172" w:lineRule="exact"/>
        <w:rPr>
          <w:rFonts w:ascii="Arial" w:cs="Arial" w:eastAsia="Arial" w:hAnsi="Arial"/>
          <w:sz w:val="20"/>
          <w:szCs w:val="20"/>
          <w:color w:val="auto"/>
        </w:rPr>
      </w:pPr>
    </w:p>
    <w:p>
      <w:pPr>
        <w:jc w:val="both"/>
        <w:ind w:left="980" w:right="260" w:hanging="490"/>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93" w:lineRule="exact"/>
        <w:rPr>
          <w:rFonts w:ascii="Arial" w:cs="Arial" w:eastAsia="Arial" w:hAnsi="Arial"/>
          <w:sz w:val="20"/>
          <w:szCs w:val="20"/>
          <w:color w:val="auto"/>
        </w:rPr>
      </w:pPr>
    </w:p>
    <w:p>
      <w:pPr>
        <w:ind w:left="980" w:right="200" w:hanging="490"/>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collaborator with marketing and distribution rights to one or more of our product candidates that achieve regulatory approval may not commit sufficient resources to the marketing and distribution of such products;</w:t>
      </w:r>
    </w:p>
    <w:p>
      <w:pPr>
        <w:spacing w:after="0" w:line="193" w:lineRule="exact"/>
        <w:rPr>
          <w:rFonts w:ascii="Arial" w:cs="Arial" w:eastAsia="Arial" w:hAnsi="Arial"/>
          <w:sz w:val="20"/>
          <w:szCs w:val="20"/>
          <w:color w:val="auto"/>
        </w:rPr>
      </w:pPr>
    </w:p>
    <w:p>
      <w:pPr>
        <w:jc w:val="both"/>
        <w:ind w:left="980" w:right="300" w:hanging="490"/>
        <w:spacing w:after="0" w:line="261"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193" w:lineRule="exact"/>
        <w:rPr>
          <w:rFonts w:ascii="Arial" w:cs="Arial" w:eastAsia="Arial" w:hAnsi="Arial"/>
          <w:sz w:val="20"/>
          <w:szCs w:val="20"/>
          <w:color w:val="auto"/>
        </w:rPr>
      </w:pPr>
    </w:p>
    <w:p>
      <w:pPr>
        <w:ind w:left="980" w:right="920" w:hanging="490"/>
        <w:spacing w:after="0" w:line="285"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collaboration agreements may restrict our right to independently pursue new product candidates.</w:t>
      </w:r>
    </w:p>
    <w:p>
      <w:pPr>
        <w:spacing w:after="0" w:line="155"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If we enter into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among others, could delay the development and commercialization of our product candidates, which would harm our business prospects, financial condition and results of operations.</w:t>
      </w:r>
    </w:p>
    <w:p>
      <w:pPr>
        <w:spacing w:after="0" w:line="198" w:lineRule="exact"/>
        <w:rPr>
          <w:sz w:val="20"/>
          <w:szCs w:val="20"/>
          <w:color w:val="auto"/>
        </w:rPr>
      </w:pPr>
    </w:p>
    <w:p>
      <w:pPr>
        <w:ind w:right="420"/>
        <w:spacing w:after="0" w:line="264" w:lineRule="auto"/>
        <w:rPr>
          <w:sz w:val="20"/>
          <w:szCs w:val="20"/>
          <w:color w:val="auto"/>
        </w:rPr>
      </w:pPr>
      <w:r>
        <w:rPr>
          <w:rFonts w:ascii="Arial" w:cs="Arial" w:eastAsia="Arial" w:hAnsi="Arial"/>
          <w:sz w:val="20"/>
          <w:szCs w:val="20"/>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8" w:lineRule="exact"/>
        <w:rPr>
          <w:sz w:val="20"/>
          <w:szCs w:val="20"/>
          <w:color w:val="auto"/>
        </w:rPr>
      </w:pPr>
    </w:p>
    <w:p>
      <w:pPr>
        <w:ind w:right="180" w:firstLine="490"/>
        <w:spacing w:after="0" w:line="253" w:lineRule="auto"/>
        <w:rPr>
          <w:sz w:val="20"/>
          <w:szCs w:val="20"/>
          <w:color w:val="auto"/>
        </w:rPr>
      </w:pPr>
      <w:r>
        <w:rPr>
          <w:rFonts w:ascii="Arial" w:cs="Arial" w:eastAsia="Arial" w:hAnsi="Arial"/>
          <w:sz w:val="20"/>
          <w:szCs w:val="20"/>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pharmaceutical and biotechnology companies with respect to development and potential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9360"/>
          </w:cols>
          <w:pgMar w:left="1440" w:top="988" w:right="1440" w:bottom="161" w:gutter="0" w:footer="0" w:header="0"/>
        </w:sectPr>
      </w:pPr>
    </w:p>
    <w:bookmarkStart w:id="80" w:name="page81"/>
    <w:bookmarkEnd w:id="80"/>
    <w:p>
      <w:pPr>
        <w:jc w:val="both"/>
        <w:ind w:right="300"/>
        <w:spacing w:after="0" w:line="260" w:lineRule="auto"/>
        <w:rPr>
          <w:sz w:val="20"/>
          <w:szCs w:val="20"/>
          <w:color w:val="auto"/>
        </w:rPr>
      </w:pPr>
      <w:r>
        <w:rPr>
          <w:rFonts w:ascii="Arial" w:cs="Arial" w:eastAsia="Arial" w:hAnsi="Arial"/>
          <w:sz w:val="20"/>
          <w:szCs w:val="20"/>
          <w:color w:val="auto"/>
        </w:rPr>
        <w:t>commercialization. Any of these relationships may require us to incur non- recurring and other charges, increase our near- and long-term expenditures, issue securities that dilute our existing stockholders, or disrupt our management and business.</w:t>
      </w:r>
    </w:p>
    <w:p>
      <w:pPr>
        <w:spacing w:after="0" w:line="181" w:lineRule="exact"/>
        <w:rPr>
          <w:sz w:val="20"/>
          <w:szCs w:val="20"/>
          <w:color w:val="auto"/>
        </w:rPr>
      </w:pPr>
    </w:p>
    <w:p>
      <w:pPr>
        <w:ind w:right="80" w:firstLine="490"/>
        <w:spacing w:after="0" w:line="243" w:lineRule="auto"/>
        <w:rPr>
          <w:sz w:val="20"/>
          <w:szCs w:val="20"/>
          <w:color w:val="auto"/>
        </w:rPr>
      </w:pPr>
      <w:r>
        <w:rPr>
          <w:rFonts w:ascii="Arial" w:cs="Arial" w:eastAsia="Arial" w:hAnsi="Arial"/>
          <w:sz w:val="20"/>
          <w:szCs w:val="20"/>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204"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We may also be restricted under existing collaboration agreements from entering into future</w:t>
      </w:r>
    </w:p>
    <w:p>
      <w:pPr>
        <w:spacing w:after="0" w:line="26"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ind w:right="180" w:firstLine="490"/>
        <w:spacing w:after="0" w:line="245" w:lineRule="auto"/>
        <w:rPr>
          <w:sz w:val="20"/>
          <w:szCs w:val="20"/>
          <w:color w:val="auto"/>
        </w:rPr>
      </w:pPr>
      <w:r>
        <w:rPr>
          <w:rFonts w:ascii="Arial" w:cs="Arial" w:eastAsia="Arial" w:hAnsi="Arial"/>
          <w:sz w:val="20"/>
          <w:szCs w:val="20"/>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Our Business</w:t>
      </w:r>
    </w:p>
    <w:p>
      <w:pPr>
        <w:spacing w:after="0" w:line="247"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i w:val="1"/>
          <w:iCs w:val="1"/>
          <w:color w:val="auto"/>
        </w:rPr>
        <w:t>We face significant competition from other biotechnology and pharmaceutical companies, and our operating results will suffer if we fail to compete effectively.</w:t>
      </w:r>
    </w:p>
    <w:p>
      <w:pPr>
        <w:spacing w:after="0" w:line="142"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9360"/>
          </w:cols>
          <w:pgMar w:left="1440" w:top="988" w:right="1440" w:bottom="161" w:gutter="0" w:footer="0" w:header="0"/>
        </w:sectPr>
      </w:pPr>
    </w:p>
    <w:bookmarkStart w:id="81" w:name="page82"/>
    <w:bookmarkEnd w:id="81"/>
    <w:p>
      <w:pPr>
        <w:ind w:right="160"/>
        <w:spacing w:after="0" w:line="282" w:lineRule="auto"/>
        <w:rPr>
          <w:sz w:val="20"/>
          <w:szCs w:val="20"/>
          <w:color w:val="auto"/>
        </w:rPr>
      </w:pPr>
      <w:r>
        <w:rPr>
          <w:rFonts w:ascii="Arial" w:cs="Arial" w:eastAsia="Arial" w:hAnsi="Arial"/>
          <w:sz w:val="20"/>
          <w:szCs w:val="20"/>
          <w:color w:val="auto"/>
        </w:rPr>
        <w:t>approval or discovering, developing and commercializing products in our field before we do, which could result in our competitors establishing a strong market position before we are able to enter the market.</w:t>
      </w:r>
    </w:p>
    <w:p>
      <w:pPr>
        <w:spacing w:after="0" w:line="158"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95" w:lineRule="exact"/>
        <w:rPr>
          <w:sz w:val="20"/>
          <w:szCs w:val="20"/>
          <w:color w:val="auto"/>
        </w:rPr>
      </w:pPr>
    </w:p>
    <w:p>
      <w:pPr>
        <w:ind w:right="320" w:firstLine="490"/>
        <w:spacing w:after="0" w:line="246" w:lineRule="auto"/>
        <w:rPr>
          <w:sz w:val="20"/>
          <w:szCs w:val="20"/>
          <w:color w:val="auto"/>
        </w:rPr>
      </w:pPr>
      <w:r>
        <w:rPr>
          <w:rFonts w:ascii="Arial" w:cs="Arial" w:eastAsia="Arial" w:hAnsi="Arial"/>
          <w:sz w:val="20"/>
          <w:szCs w:val="20"/>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 -L1, such as BMS’ Opdivo, Merck &amp; Co.’s Keytruda and Genentech’s Tecentriq, to T cell-engager antibody therapeutics, such as Amgen’s Blincyto. In addition, numerous compounds are in clinical development for cancer treatment. Many of these companies are well-capitalized and have significant clinical experience.</w:t>
      </w:r>
    </w:p>
    <w:p>
      <w:pPr>
        <w:spacing w:after="0" w:line="195" w:lineRule="exact"/>
        <w:rPr>
          <w:sz w:val="20"/>
          <w:szCs w:val="20"/>
          <w:color w:val="auto"/>
        </w:rPr>
      </w:pPr>
    </w:p>
    <w:p>
      <w:pPr>
        <w:ind w:right="60" w:firstLine="490"/>
        <w:spacing w:after="0" w:line="245" w:lineRule="auto"/>
        <w:rPr>
          <w:sz w:val="20"/>
          <w:szCs w:val="20"/>
          <w:color w:val="auto"/>
        </w:rPr>
      </w:pPr>
      <w:r>
        <w:rPr>
          <w:rFonts w:ascii="Arial" w:cs="Arial" w:eastAsia="Arial" w:hAnsi="Arial"/>
          <w:sz w:val="20"/>
          <w:szCs w:val="20"/>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201" w:lineRule="exact"/>
        <w:rPr>
          <w:sz w:val="20"/>
          <w:szCs w:val="20"/>
          <w:color w:val="auto"/>
        </w:rPr>
      </w:pPr>
    </w:p>
    <w:p>
      <w:pPr>
        <w:ind w:right="120" w:firstLine="490"/>
        <w:spacing w:after="0" w:line="244" w:lineRule="auto"/>
        <w:rPr>
          <w:sz w:val="20"/>
          <w:szCs w:val="20"/>
          <w:color w:val="auto"/>
        </w:rPr>
      </w:pPr>
      <w:r>
        <w:rPr>
          <w:rFonts w:ascii="Arial" w:cs="Arial" w:eastAsia="Arial" w:hAnsi="Arial"/>
          <w:sz w:val="20"/>
          <w:szCs w:val="20"/>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208"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b w:val="1"/>
          <w:bCs w:val="1"/>
          <w:i w:val="1"/>
          <w:iCs w:val="1"/>
          <w:color w:val="auto"/>
        </w:rPr>
        <w:t>We will need to grow the size of our organization, and we may experience difficulties in managing this growth.</w:t>
      </w:r>
    </w:p>
    <w:p>
      <w:pPr>
        <w:spacing w:after="0" w:line="146" w:lineRule="exact"/>
        <w:rPr>
          <w:sz w:val="20"/>
          <w:szCs w:val="20"/>
          <w:color w:val="auto"/>
        </w:rPr>
      </w:pPr>
    </w:p>
    <w:p>
      <w:pPr>
        <w:ind w:right="260" w:firstLine="490"/>
        <w:spacing w:after="0" w:line="254" w:lineRule="auto"/>
        <w:rPr>
          <w:sz w:val="20"/>
          <w:szCs w:val="20"/>
          <w:color w:val="auto"/>
        </w:rPr>
      </w:pPr>
      <w:r>
        <w:rPr>
          <w:rFonts w:ascii="Arial" w:cs="Arial" w:eastAsia="Arial" w:hAnsi="Arial"/>
          <w:sz w:val="20"/>
          <w:szCs w:val="20"/>
          <w:color w:val="auto"/>
        </w:rPr>
        <w:t>As our development plans and strategies develop, and as we continue operating as a public company, we expect to need additional managerial, operational, marketing, sales, financial and other personnel. Future growth would impose significant added responsibilities on members of management, including:</w:t>
      </w:r>
    </w:p>
    <w:p>
      <w:pPr>
        <w:spacing w:after="0" w:line="200" w:lineRule="exact"/>
        <w:rPr>
          <w:sz w:val="20"/>
          <w:szCs w:val="20"/>
          <w:color w:val="auto"/>
        </w:rPr>
      </w:pPr>
    </w:p>
    <w:p>
      <w:pPr>
        <w:ind w:left="980" w:hanging="491"/>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identifying, recruiting, integrating, maintaining and motivating additional employees;</w:t>
      </w:r>
    </w:p>
    <w:p>
      <w:pPr>
        <w:spacing w:after="0" w:line="252" w:lineRule="exact"/>
        <w:rPr>
          <w:rFonts w:ascii="Arial" w:cs="Arial" w:eastAsia="Arial" w:hAnsi="Arial"/>
          <w:sz w:val="20"/>
          <w:szCs w:val="20"/>
          <w:color w:val="auto"/>
        </w:rPr>
      </w:pPr>
    </w:p>
    <w:p>
      <w:pPr>
        <w:ind w:left="980" w:right="120" w:hanging="491"/>
        <w:spacing w:after="0" w:line="254"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managing our internal development efforts effectively, including the clinical and FDA review process for our current product candidates and any other current or future product candidates we develop, while complying with our contractual obligations to contractors and other third parties; and</w:t>
      </w:r>
    </w:p>
    <w:p>
      <w:pPr>
        <w:spacing w:after="0" w:line="200" w:lineRule="exact"/>
        <w:rPr>
          <w:rFonts w:ascii="Arial" w:cs="Arial" w:eastAsia="Arial" w:hAnsi="Arial"/>
          <w:sz w:val="20"/>
          <w:szCs w:val="20"/>
          <w:color w:val="auto"/>
        </w:rPr>
      </w:pPr>
    </w:p>
    <w:p>
      <w:pPr>
        <w:ind w:left="980" w:right="840" w:hanging="491"/>
        <w:spacing w:after="0" w:line="282"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improving our operational, financial and management controls, reporting systems and procedures.</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9360"/>
          </w:cols>
          <w:pgMar w:left="1440" w:top="988" w:right="1440" w:bottom="161" w:gutter="0" w:footer="0" w:header="0"/>
        </w:sectPr>
      </w:pPr>
    </w:p>
    <w:bookmarkStart w:id="82" w:name="page83"/>
    <w:bookmarkEnd w:id="82"/>
    <w:p>
      <w:pPr>
        <w:ind w:right="80" w:firstLine="490"/>
        <w:spacing w:after="0" w:line="250" w:lineRule="auto"/>
        <w:rPr>
          <w:sz w:val="20"/>
          <w:szCs w:val="20"/>
          <w:color w:val="auto"/>
        </w:rPr>
      </w:pPr>
      <w:r>
        <w:rPr>
          <w:rFonts w:ascii="Arial" w:cs="Arial" w:eastAsia="Arial" w:hAnsi="Arial"/>
          <w:sz w:val="20"/>
          <w:szCs w:val="20"/>
          <w:color w:val="auto"/>
        </w:rPr>
        <w:t>Our future financial performance and our ability to advance development of and, if approved, commercialize our current product candidates and any current or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92"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202" w:lineRule="exact"/>
        <w:rPr>
          <w:sz w:val="20"/>
          <w:szCs w:val="20"/>
          <w:color w:val="auto"/>
        </w:rPr>
      </w:pPr>
    </w:p>
    <w:p>
      <w:pPr>
        <w:ind w:right="100" w:firstLine="490"/>
        <w:spacing w:after="0" w:line="251" w:lineRule="auto"/>
        <w:rPr>
          <w:sz w:val="20"/>
          <w:szCs w:val="20"/>
          <w:color w:val="auto"/>
        </w:rPr>
      </w:pPr>
      <w:r>
        <w:rPr>
          <w:rFonts w:ascii="Arial" w:cs="Arial" w:eastAsia="Arial" w:hAnsi="Arial"/>
          <w:sz w:val="20"/>
          <w:szCs w:val="20"/>
          <w:color w:val="auto"/>
        </w:rPr>
        <w:t>If we are not able to effectively expand our organization by hiring new employees and expanding our groups of consultants and contractors, we may not be able to successfully implement the tasks necessary to further develop and commercialize our current product candidates and any current or future product candidates we develop and, accordingly, may not achieve our research, development and commercialization goals.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broad discretion in the use of our cash resources and may not use them effectively.</w:t>
      </w:r>
    </w:p>
    <w:p>
      <w:pPr>
        <w:spacing w:after="0" w:line="236" w:lineRule="exact"/>
        <w:rPr>
          <w:sz w:val="20"/>
          <w:szCs w:val="20"/>
          <w:color w:val="auto"/>
        </w:rPr>
      </w:pPr>
    </w:p>
    <w:p>
      <w:pPr>
        <w:ind w:right="220" w:firstLine="490"/>
        <w:spacing w:after="0" w:line="248" w:lineRule="auto"/>
        <w:rPr>
          <w:sz w:val="20"/>
          <w:szCs w:val="20"/>
          <w:color w:val="auto"/>
        </w:rPr>
      </w:pPr>
      <w:r>
        <w:rPr>
          <w:rFonts w:ascii="Arial" w:cs="Arial" w:eastAsia="Arial" w:hAnsi="Arial"/>
          <w:sz w:val="20"/>
          <w:szCs w:val="20"/>
          <w:color w:val="auto"/>
        </w:rPr>
        <w:t>We currently intend to use our cash resources for clinical development of our product candidates, the advancement of our preclinical and discovery programs in development, and for working capital and other general corporate purposes. Although we currently intend to use our cash resources in such a manner, we will have broad discretion in their application. Our failure to apply these funds effectively could affect our ability to continue to develop and commercialize our product candidates. Pending their use, we may invest our cash resources in a manner that does not produce income or loses value.</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68" w:lineRule="exact"/>
        <w:rPr>
          <w:sz w:val="20"/>
          <w:szCs w:val="20"/>
          <w:color w:val="auto"/>
        </w:rPr>
      </w:pPr>
    </w:p>
    <w:p>
      <w:pPr>
        <w:ind w:right="200" w:firstLine="490"/>
        <w:spacing w:after="0" w:line="250" w:lineRule="auto"/>
        <w:rPr>
          <w:sz w:val="20"/>
          <w:szCs w:val="20"/>
          <w:color w:val="auto"/>
        </w:rPr>
      </w:pPr>
      <w:r>
        <w:rPr>
          <w:rFonts w:ascii="Arial" w:cs="Arial" w:eastAsia="Arial" w:hAnsi="Arial"/>
          <w:sz w:val="20"/>
          <w:szCs w:val="20"/>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The loss of the services of these officers could impede the achievement of our research, development and commercialization objectives.</w:t>
      </w:r>
    </w:p>
    <w:p>
      <w:pPr>
        <w:spacing w:after="0" w:line="192" w:lineRule="exact"/>
        <w:rPr>
          <w:sz w:val="20"/>
          <w:szCs w:val="20"/>
          <w:color w:val="auto"/>
        </w:rPr>
      </w:pPr>
    </w:p>
    <w:p>
      <w:pPr>
        <w:ind w:right="140" w:firstLine="490"/>
        <w:spacing w:after="0" w:line="243" w:lineRule="auto"/>
        <w:rPr>
          <w:sz w:val="20"/>
          <w:szCs w:val="20"/>
          <w:color w:val="auto"/>
        </w:rPr>
      </w:pPr>
      <w:r>
        <w:rPr>
          <w:rFonts w:ascii="Arial" w:cs="Arial" w:eastAsia="Arial" w:hAnsi="Arial"/>
          <w:sz w:val="20"/>
          <w:szCs w:val="20"/>
          <w:color w:val="auto"/>
        </w:rPr>
        <w:t>Historically, we have experienced significant turnover in our research and development workforce and have operated with a limited team of scientific and technical personnel. We have had difficulty attracting and retaining qualified personnel for certain positions in our research and development groups and we may not be able to attract and retain such personnel on acceptable terms given the competition among numerous pharmaceutical and biotechnology companies and academic institutions for skilled individuals. Recruiting and retaining qualified employees for our business, including scientific and technical personnel, will also be critical to our success. In addition, failure to succeed in preclinical studies, clinical trials or applications for marketing approval may make it more challenging to recruit and retain qualified scientific and technical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9360"/>
          </w:cols>
          <w:pgMar w:left="1440" w:top="988" w:right="1440" w:bottom="161" w:gutter="0" w:footer="0" w:header="0"/>
        </w:sectPr>
      </w:pPr>
    </w:p>
    <w:bookmarkStart w:id="83" w:name="page84"/>
    <w:bookmarkEnd w:id="83"/>
    <w:p>
      <w:pPr>
        <w:ind w:right="380"/>
        <w:spacing w:after="0" w:line="263" w:lineRule="auto"/>
        <w:rPr>
          <w:sz w:val="20"/>
          <w:szCs w:val="20"/>
          <w:color w:val="auto"/>
        </w:rPr>
      </w:pPr>
      <w:r>
        <w:rPr>
          <w:rFonts w:ascii="Arial" w:cs="Arial" w:eastAsia="Arial" w:hAnsi="Arial"/>
          <w:sz w:val="20"/>
          <w:szCs w:val="20"/>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69" w:lineRule="exact"/>
        <w:rPr>
          <w:sz w:val="20"/>
          <w:szCs w:val="20"/>
          <w:color w:val="auto"/>
        </w:rPr>
      </w:pPr>
    </w:p>
    <w:p>
      <w:pPr>
        <w:ind w:right="40" w:firstLine="490"/>
        <w:spacing w:after="0" w:line="244" w:lineRule="auto"/>
        <w:rPr>
          <w:sz w:val="20"/>
          <w:szCs w:val="20"/>
          <w:color w:val="auto"/>
        </w:rPr>
      </w:pPr>
      <w:r>
        <w:rPr>
          <w:rFonts w:ascii="Arial" w:cs="Arial" w:eastAsia="Arial" w:hAnsi="Arial"/>
          <w:sz w:val="20"/>
          <w:szCs w:val="20"/>
          <w:color w:val="auto"/>
        </w:rPr>
        <w:t>Pursuant to Section 404 of the Sarbanes-Oxley Act, our management is required to annually report upon the effectiveness of our internal control over financial reporting. When we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As we grow, we expect to hire additional personnel and may utilize external temporary resources to implement, document and modify policies and procedures to maintain effective internal controls. However, it is possible that we may identify significant deficiencies and/or material weaknesses in our internal controls. If we or, if required, our auditors are unable to conclude that our internal control over financial reporting is effective, investors may lose confidence in our financial reporting and the trading price of our common stock may decline.</w:t>
      </w:r>
    </w:p>
    <w:p>
      <w:pPr>
        <w:spacing w:after="0" w:line="198" w:lineRule="exact"/>
        <w:rPr>
          <w:sz w:val="20"/>
          <w:szCs w:val="20"/>
          <w:color w:val="auto"/>
        </w:rPr>
      </w:pPr>
    </w:p>
    <w:p>
      <w:pPr>
        <w:ind w:right="60" w:firstLine="490"/>
        <w:spacing w:after="0" w:line="243" w:lineRule="auto"/>
        <w:rPr>
          <w:sz w:val="20"/>
          <w:szCs w:val="20"/>
          <w:color w:val="auto"/>
        </w:rPr>
      </w:pPr>
      <w:r>
        <w:rPr>
          <w:rFonts w:ascii="Arial" w:cs="Arial" w:eastAsia="Arial" w:hAnsi="Arial"/>
          <w:sz w:val="20"/>
          <w:szCs w:val="20"/>
          <w:color w:val="auto"/>
        </w:rPr>
        <w:t>Although we have determined that our internal control over financial reporting was effective as of December 31, 2025,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audits,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1" w:lineRule="exact"/>
        <w:rPr>
          <w:sz w:val="20"/>
          <w:szCs w:val="20"/>
          <w:color w:val="auto"/>
        </w:rPr>
      </w:pPr>
    </w:p>
    <w:p>
      <w:pPr>
        <w:ind w:right="400"/>
        <w:spacing w:after="0" w:line="264" w:lineRule="auto"/>
        <w:rPr>
          <w:sz w:val="20"/>
          <w:szCs w:val="20"/>
          <w:color w:val="auto"/>
        </w:rPr>
      </w:pPr>
      <w:r>
        <w:rPr>
          <w:rFonts w:ascii="Arial" w:cs="Arial" w:eastAsia="Arial" w:hAnsi="Arial"/>
          <w:sz w:val="20"/>
          <w:szCs w:val="20"/>
          <w:b w:val="1"/>
          <w:bCs w:val="1"/>
          <w:i w:val="1"/>
          <w:iCs w:val="1"/>
          <w:color w:val="auto"/>
        </w:rPr>
        <w:t>Our business, results of operations and future growth prospects could be or continue to be affected by global pandemics, such as the COVID-19 pandemic, or the future outbreak of other highly infectious or contagious diseases.</w:t>
      </w:r>
    </w:p>
    <w:p>
      <w:pPr>
        <w:spacing w:after="0" w:line="157"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Our business could be adversely affected by health epidemics in regions where we have concentrations of clinical trial sites or other business activities and could cause significant disruption in the operations of third- parties on which we rely. We cannot precisely determine or quantify the impact the future outbreak of any highly infectious our contagious diseases, such as the COVID-19 pandemic, will have on our business operations in the future, which will depend on a variety of factors and future developments, which are highly uncertain and cannot be predicted with confidence, including the ultimate geographic spread of the disease, the duration, scope and severity of the pandemic, the duration and extent of travel restrictions and social distancing in the United States and other countries, business closures or business disruptions and the effectiveness of actions taken in the United States and other countries to contain and the pandemic.</w:t>
      </w:r>
    </w:p>
    <w:p>
      <w:pPr>
        <w:spacing w:after="0" w:line="196" w:lineRule="exact"/>
        <w:rPr>
          <w:sz w:val="20"/>
          <w:szCs w:val="20"/>
          <w:color w:val="auto"/>
        </w:rPr>
      </w:pPr>
    </w:p>
    <w:p>
      <w:pPr>
        <w:ind w:right="460"/>
        <w:spacing w:after="0" w:line="288" w:lineRule="auto"/>
        <w:rPr>
          <w:sz w:val="20"/>
          <w:szCs w:val="20"/>
          <w:color w:val="auto"/>
        </w:rPr>
      </w:pPr>
      <w:r>
        <w:rPr>
          <w:rFonts w:ascii="Arial" w:cs="Arial" w:eastAsia="Arial" w:hAnsi="Arial"/>
          <w:sz w:val="20"/>
          <w:szCs w:val="20"/>
          <w:b w:val="1"/>
          <w:bCs w:val="1"/>
          <w:i w:val="1"/>
          <w:iCs w:val="1"/>
          <w:color w:val="auto"/>
        </w:rPr>
        <w:t>Our ability to use our net operating loss carryforwards and certain other tax attributes may be limited.</w:t>
      </w:r>
    </w:p>
    <w:p>
      <w:pPr>
        <w:spacing w:after="0" w:line="145"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Under current law, unused federal net operating losses generated for tax years beginning after December 31, 2017 are not subject to expiration and may be carried forward indefinitely. For taxable years beginning after December 31, 2020, the deductibility of such federal net operating losses is limited to 80% of our taxable income in any future taxable year. In addition, in general, under Sections 382 and 383 of the Code,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may have experienced such ownership changes in the past and may experience such ownership changes in the future (which may be outside our control) . As a result, if, and to the extent that, we earn net taxable income, our ability to use our pre-change net operating losses and research and development tax credit carryforwards to offset such taxable income may be subject to limitations.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9360"/>
          </w:cols>
          <w:pgMar w:left="1440" w:top="992" w:right="1440" w:bottom="161"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u w:val="single" w:color="auto"/>
          <w:color w:val="auto"/>
        </w:rPr>
        <w:t>Risks Related to Our Common Stock</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46"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As of December 31, 2025, our executive officers, directors and principal stockholders, together with their respective affiliates, beneficially owned approximately 18% of our common stock.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99" w:lineRule="exact"/>
        <w:rPr>
          <w:sz w:val="20"/>
          <w:szCs w:val="20"/>
          <w:color w:val="auto"/>
        </w:rPr>
      </w:pPr>
    </w:p>
    <w:p>
      <w:pPr>
        <w:ind w:right="300"/>
        <w:spacing w:after="0" w:line="288" w:lineRule="auto"/>
        <w:rPr>
          <w:sz w:val="20"/>
          <w:szCs w:val="20"/>
          <w:color w:val="auto"/>
        </w:rPr>
      </w:pPr>
      <w:r>
        <w:rPr>
          <w:rFonts w:ascii="Arial" w:cs="Arial" w:eastAsia="Arial" w:hAnsi="Arial"/>
          <w:sz w:val="20"/>
          <w:szCs w:val="20"/>
          <w:b w:val="1"/>
          <w:bCs w:val="1"/>
          <w:i w:val="1"/>
          <w:iCs w:val="1"/>
          <w:color w:val="auto"/>
        </w:rPr>
        <w:t>Future issuances of common or preferred stock to fund our operations may substantially dilute your investment and reduce your equity interest in our company.</w:t>
      </w:r>
    </w:p>
    <w:p>
      <w:pPr>
        <w:spacing w:after="0" w:line="145"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We may need to raise capital in the future through issuances of common or preferred stock to fund the development of our drug candidates or for other purposes. At its sole discretion, our board of directors may issue additional securities without seeking stockholder approval. Any future issuances of common or preferred stock to fund our operations may substantially dilute your investment and reduce your equity interest in our company.</w:t>
      </w:r>
    </w:p>
    <w:p>
      <w:pPr>
        <w:spacing w:after="0" w:line="196"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78"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Provisions in our amended and restated certificate of incorporation and amended and restated bylaws that we have adopted in connection with the reverse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Some of these provisions include:</w:t>
      </w:r>
    </w:p>
    <w:p>
      <w:pPr>
        <w:spacing w:after="0" w:line="211" w:lineRule="exact"/>
        <w:rPr>
          <w:sz w:val="20"/>
          <w:szCs w:val="20"/>
          <w:color w:val="auto"/>
        </w:rPr>
      </w:pPr>
    </w:p>
    <w:p>
      <w:pPr>
        <w:ind w:left="980" w:right="260" w:hanging="491"/>
        <w:spacing w:after="0" w:line="282"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board of directors divided into three classes serving staggered three-year terms, such that not all members of the board will be elected at one time;</w:t>
      </w:r>
    </w:p>
    <w:p>
      <w:pPr>
        <w:spacing w:after="0" w:line="172" w:lineRule="exact"/>
        <w:rPr>
          <w:rFonts w:ascii="Arial" w:cs="Arial" w:eastAsia="Arial" w:hAnsi="Arial"/>
          <w:sz w:val="20"/>
          <w:szCs w:val="20"/>
          <w:color w:val="auto"/>
        </w:rPr>
      </w:pPr>
    </w:p>
    <w:p>
      <w:pPr>
        <w:ind w:left="980" w:right="100" w:hanging="490"/>
        <w:spacing w:after="0" w:line="282"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prohibition on stockholder action through written consent, which requires that all stockholder actions be taken at a meeting of our stockholders;</w:t>
      </w:r>
    </w:p>
    <w:p>
      <w:pPr>
        <w:spacing w:after="0" w:line="172" w:lineRule="exact"/>
        <w:rPr>
          <w:rFonts w:ascii="Arial" w:cs="Arial" w:eastAsia="Arial" w:hAnsi="Arial"/>
          <w:sz w:val="20"/>
          <w:szCs w:val="20"/>
          <w:color w:val="auto"/>
        </w:rPr>
      </w:pPr>
    </w:p>
    <w:p>
      <w:pPr>
        <w:jc w:val="both"/>
        <w:ind w:left="980" w:right="280" w:hanging="490"/>
        <w:spacing w:after="0" w:line="261"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requirement that special meetings of stockholders be called only by the board of directors acting pursuant to a resolution approved by the affirmative vote of a majority of the directors then in office;</w:t>
      </w:r>
    </w:p>
    <w:p>
      <w:pPr>
        <w:spacing w:after="0" w:line="193" w:lineRule="exact"/>
        <w:rPr>
          <w:rFonts w:ascii="Arial" w:cs="Arial" w:eastAsia="Arial" w:hAnsi="Arial"/>
          <w:sz w:val="20"/>
          <w:szCs w:val="20"/>
          <w:color w:val="auto"/>
        </w:rPr>
      </w:pPr>
    </w:p>
    <w:p>
      <w:pPr>
        <w:ind w:left="980" w:right="400" w:hanging="490"/>
        <w:spacing w:after="0" w:line="282"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advance notice requirements for stockholder proposals and nominations for election to our board of directors;</w:t>
      </w:r>
    </w:p>
    <w:p>
      <w:pPr>
        <w:spacing w:after="0" w:line="172" w:lineRule="exact"/>
        <w:rPr>
          <w:rFonts w:ascii="Arial" w:cs="Arial" w:eastAsia="Arial" w:hAnsi="Arial"/>
          <w:sz w:val="20"/>
          <w:szCs w:val="20"/>
          <w:color w:val="auto"/>
        </w:rPr>
      </w:pPr>
    </w:p>
    <w:p>
      <w:pPr>
        <w:ind w:left="980" w:hanging="490"/>
        <w:spacing w:after="0" w:line="254"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9360"/>
          </w:cols>
          <w:pgMar w:left="1440" w:top="984" w:right="1440" w:bottom="161" w:gutter="0" w:footer="0" w:header="0"/>
        </w:sectPr>
      </w:pPr>
    </w:p>
    <w:bookmarkStart w:id="85" w:name="page86"/>
    <w:bookmarkEnd w:id="85"/>
    <w:p>
      <w:pPr>
        <w:ind w:left="980" w:right="400" w:hanging="490"/>
        <w:spacing w:after="0" w:line="261" w:lineRule="auto"/>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requirement of approval of not less than two-thirds of all outstanding shares of our voting stock to amend any bylaws by stockholder action or to amend specific provisions of our certificate of incorporation; and</w:t>
      </w:r>
    </w:p>
    <w:p>
      <w:pPr>
        <w:spacing w:after="0" w:line="193" w:lineRule="exact"/>
        <w:rPr>
          <w:rFonts w:ascii="Arial" w:cs="Arial" w:eastAsia="Arial" w:hAnsi="Arial"/>
          <w:sz w:val="20"/>
          <w:szCs w:val="20"/>
          <w:color w:val="auto"/>
        </w:rPr>
      </w:pPr>
    </w:p>
    <w:p>
      <w:pPr>
        <w:ind w:left="980" w:right="220" w:hanging="490"/>
        <w:spacing w:after="0" w:line="261" w:lineRule="auto"/>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81"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In addition, because we are incorporated in Delaware, we are governed by the provisions of Section 203 of the Delaware General Corporate Law ("DGCL"),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 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98" w:lineRule="exact"/>
        <w:rPr>
          <w:sz w:val="20"/>
          <w:szCs w:val="20"/>
          <w:color w:val="auto"/>
        </w:rPr>
      </w:pPr>
    </w:p>
    <w:p>
      <w:pPr>
        <w:ind w:right="240" w:firstLine="490"/>
        <w:spacing w:after="0" w:line="254" w:lineRule="auto"/>
        <w:rPr>
          <w:sz w:val="20"/>
          <w:szCs w:val="20"/>
          <w:color w:val="auto"/>
        </w:rPr>
      </w:pPr>
      <w:r>
        <w:rPr>
          <w:rFonts w:ascii="Arial" w:cs="Arial" w:eastAsia="Arial" w:hAnsi="Arial"/>
          <w:sz w:val="20"/>
          <w:szCs w:val="20"/>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0"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6" w:lineRule="exact"/>
        <w:rPr>
          <w:sz w:val="20"/>
          <w:szCs w:val="20"/>
          <w:color w:val="auto"/>
        </w:rPr>
      </w:pPr>
    </w:p>
    <w:p>
      <w:pPr>
        <w:ind w:right="20" w:firstLine="490"/>
        <w:spacing w:after="0" w:line="259" w:lineRule="auto"/>
        <w:rPr>
          <w:sz w:val="20"/>
          <w:szCs w:val="20"/>
          <w:color w:val="auto"/>
        </w:rPr>
      </w:pPr>
      <w:r>
        <w:rPr>
          <w:rFonts w:ascii="Arial" w:cs="Arial" w:eastAsia="Arial" w:hAnsi="Arial"/>
          <w:sz w:val="19"/>
          <w:szCs w:val="19"/>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w:t>
      </w:r>
    </w:p>
    <w:p>
      <w:pPr>
        <w:spacing w:after="0" w:line="2" w:lineRule="exact"/>
        <w:rPr>
          <w:sz w:val="20"/>
          <w:szCs w:val="20"/>
          <w:color w:val="auto"/>
        </w:rPr>
      </w:pPr>
    </w:p>
    <w:p>
      <w:pPr>
        <w:ind w:right="20"/>
        <w:spacing w:after="0"/>
        <w:tabs>
          <w:tab w:leader="none" w:pos="323"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action asserting a claim arising pursuant to any provision of the DGCL, our amended and restated certificate of incorporation or our bylaws (in each case, as they may be amended form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of 1933, as amended ("the Securities Act" or "the Exchange Act"). Our bylaws further provide that, unless we consent in writing to an alternative forum, the United States District Court for the District of Massachusetts will be the exclusive forum for resolving any complaint asserting a cause of action arising under the Securities Act. We have chosen the United States District Court for the District of Massachusetts as the exclusive forum for such Securities Act causes of action because our principal executive offices are located in Boston, Massachusetts. In addition, our amended and restated bylaws will provide that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particularly if the stockholders do not reside in or near the State of Delaware or the Commonwealth of Massachusetts, as applicable.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9360"/>
          </w:cols>
          <w:pgMar w:left="1440" w:top="1000" w:right="1440" w:bottom="161" w:gutter="0" w:footer="0" w:header="0"/>
        </w:sectPr>
      </w:pPr>
    </w:p>
    <w:bookmarkStart w:id="86" w:name="page87"/>
    <w:bookmarkEnd w:id="86"/>
    <w:p>
      <w:pPr>
        <w:ind w:right="260"/>
        <w:spacing w:after="0" w:line="288" w:lineRule="auto"/>
        <w:rPr>
          <w:sz w:val="20"/>
          <w:szCs w:val="20"/>
          <w:color w:val="auto"/>
        </w:rPr>
      </w:pPr>
      <w:r>
        <w:rPr>
          <w:rFonts w:ascii="Arial" w:cs="Arial" w:eastAsia="Arial" w:hAnsi="Arial"/>
          <w:sz w:val="20"/>
          <w:szCs w:val="20"/>
          <w:b w:val="1"/>
          <w:bCs w:val="1"/>
          <w:i w:val="1"/>
          <w:iCs w:val="1"/>
          <w:color w:val="auto"/>
        </w:rPr>
        <w:t>Because we do not anticipate paying any cash dividends on our capital stock in the foreseeable future, capital appreciation, if any, will be your sole source of gain.</w:t>
      </w:r>
    </w:p>
    <w:p>
      <w:pPr>
        <w:spacing w:after="0" w:line="142"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we enter into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Risk Factors</w:t>
      </w:r>
    </w:p>
    <w:p>
      <w:pPr>
        <w:spacing w:after="0" w:line="248" w:lineRule="exact"/>
        <w:rPr>
          <w:sz w:val="20"/>
          <w:szCs w:val="20"/>
          <w:color w:val="auto"/>
        </w:rPr>
      </w:pPr>
    </w:p>
    <w:p>
      <w:pPr>
        <w:ind w:right="40"/>
        <w:spacing w:after="0" w:line="316" w:lineRule="auto"/>
        <w:rPr>
          <w:sz w:val="20"/>
          <w:szCs w:val="20"/>
          <w:color w:val="auto"/>
        </w:rPr>
      </w:pPr>
      <w:r>
        <w:rPr>
          <w:rFonts w:ascii="Arial" w:cs="Arial" w:eastAsia="Arial" w:hAnsi="Arial"/>
          <w:sz w:val="19"/>
          <w:szCs w:val="19"/>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21" w:lineRule="exact"/>
        <w:rPr>
          <w:sz w:val="20"/>
          <w:szCs w:val="20"/>
          <w:color w:val="auto"/>
        </w:rPr>
      </w:pPr>
    </w:p>
    <w:p>
      <w:pPr>
        <w:ind w:right="80" w:firstLine="490"/>
        <w:spacing w:after="0" w:line="245" w:lineRule="auto"/>
        <w:rPr>
          <w:sz w:val="20"/>
          <w:szCs w:val="20"/>
          <w:color w:val="auto"/>
        </w:rPr>
      </w:pPr>
      <w:r>
        <w:rPr>
          <w:rFonts w:ascii="Arial" w:cs="Arial" w:eastAsia="Arial" w:hAnsi="Arial"/>
          <w:sz w:val="20"/>
          <w:szCs w:val="20"/>
          <w:color w:val="auto"/>
        </w:rPr>
        <w:t>Among other matters, U.S. and foreign anti-corruption, anti-money laundering, export control, sanctions and other trade laws and regulations, or, collectively,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201" w:lineRule="exact"/>
        <w:rPr>
          <w:sz w:val="20"/>
          <w:szCs w:val="20"/>
          <w:color w:val="auto"/>
        </w:rPr>
      </w:pPr>
    </w:p>
    <w:p>
      <w:pPr>
        <w:ind w:right="40" w:firstLine="490"/>
        <w:spacing w:after="0" w:line="241" w:lineRule="auto"/>
        <w:rPr>
          <w:sz w:val="20"/>
          <w:szCs w:val="20"/>
          <w:color w:val="auto"/>
        </w:rPr>
      </w:pPr>
      <w:r>
        <w:rPr>
          <w:rFonts w:ascii="Arial" w:cs="Arial" w:eastAsia="Arial" w:hAnsi="Arial"/>
          <w:sz w:val="20"/>
          <w:szCs w:val="20"/>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("FCPA").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9360"/>
          </w:cols>
          <w:pgMar w:left="1440" w:top="992" w:right="1440" w:bottom="161" w:gutter="0" w:footer="0" w:header="0"/>
        </w:sectPr>
      </w:pPr>
    </w:p>
    <w:bookmarkStart w:id="87" w:name="page88"/>
    <w:bookmarkEnd w:id="87"/>
    <w:p>
      <w:pPr>
        <w:ind w:right="140"/>
        <w:spacing w:after="0" w:line="263" w:lineRule="auto"/>
        <w:rPr>
          <w:sz w:val="20"/>
          <w:szCs w:val="20"/>
          <w:color w:val="auto"/>
        </w:rPr>
      </w:pPr>
      <w:r>
        <w:rPr>
          <w:rFonts w:ascii="Arial" w:cs="Arial" w:eastAsia="Arial" w:hAnsi="Arial"/>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9" w:lineRule="exact"/>
        <w:rPr>
          <w:sz w:val="20"/>
          <w:szCs w:val="20"/>
          <w:color w:val="auto"/>
        </w:rPr>
      </w:pPr>
    </w:p>
    <w:p>
      <w:pPr>
        <w:ind w:right="20" w:firstLine="490"/>
        <w:spacing w:after="0" w:line="246" w:lineRule="auto"/>
        <w:rPr>
          <w:sz w:val="20"/>
          <w:szCs w:val="20"/>
          <w:color w:val="auto"/>
        </w:rPr>
      </w:pPr>
      <w:r>
        <w:rPr>
          <w:rFonts w:ascii="Arial" w:cs="Arial" w:eastAsia="Arial" w:hAnsi="Arial"/>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5" w:lineRule="exact"/>
        <w:rPr>
          <w:sz w:val="20"/>
          <w:szCs w:val="20"/>
          <w:color w:val="auto"/>
        </w:rPr>
      </w:pPr>
    </w:p>
    <w:p>
      <w:pPr>
        <w:ind w:right="40" w:firstLine="490"/>
        <w:spacing w:after="0" w:line="250" w:lineRule="auto"/>
        <w:rPr>
          <w:sz w:val="20"/>
          <w:szCs w:val="20"/>
          <w:color w:val="auto"/>
        </w:rPr>
      </w:pPr>
      <w:r>
        <w:rPr>
          <w:rFonts w:ascii="Arial" w:cs="Arial" w:eastAsia="Arial" w:hAnsi="Arial"/>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disclosure controls and procedures may not prevent or detect all errors or acts of fraud.</w:t>
      </w:r>
    </w:p>
    <w:p>
      <w:pPr>
        <w:spacing w:after="0" w:line="236" w:lineRule="exact"/>
        <w:rPr>
          <w:sz w:val="20"/>
          <w:szCs w:val="20"/>
          <w:color w:val="auto"/>
        </w:rPr>
      </w:pPr>
    </w:p>
    <w:p>
      <w:pPr>
        <w:ind w:right="100" w:firstLine="490"/>
        <w:spacing w:after="0" w:line="247" w:lineRule="auto"/>
        <w:rPr>
          <w:sz w:val="20"/>
          <w:szCs w:val="20"/>
          <w:color w:val="auto"/>
        </w:rPr>
      </w:pPr>
      <w:r>
        <w:rPr>
          <w:rFonts w:ascii="Arial" w:cs="Arial" w:eastAsia="Arial" w:hAnsi="Arial"/>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4"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6" w:lineRule="exact"/>
        <w:rPr>
          <w:sz w:val="20"/>
          <w:szCs w:val="20"/>
          <w:color w:val="auto"/>
        </w:rPr>
      </w:pPr>
    </w:p>
    <w:p>
      <w:pPr>
        <w:ind w:right="840"/>
        <w:spacing w:after="0" w:line="263" w:lineRule="auto"/>
        <w:rPr>
          <w:sz w:val="20"/>
          <w:szCs w:val="20"/>
          <w:color w:val="auto"/>
        </w:rPr>
      </w:pPr>
      <w:r>
        <w:rPr>
          <w:rFonts w:ascii="Arial" w:cs="Arial" w:eastAsia="Arial" w:hAnsi="Arial"/>
          <w:sz w:val="20"/>
          <w:szCs w:val="20"/>
          <w:b w:val="1"/>
          <w:bCs w:val="1"/>
          <w:i w:val="1"/>
          <w:iCs w:val="1"/>
          <w:color w:val="auto"/>
        </w:rPr>
        <w:t>We will continue to incur increased costs as a result of being a public company and our management will be required to devote substantial time to new compliance initiatives and corporate governance practices.</w:t>
      </w:r>
    </w:p>
    <w:p>
      <w:pPr>
        <w:spacing w:after="0" w:line="169"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As a public company, we will continue to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to implement provisions of the Sarbanes -Oxley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6"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For example, we expect that these rules and regulations may make it more difficult and more expensive for us to obtain director and officer liability insurance and we may be required to accept reduced coverage or incur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2240" w:h="15840" w:orient="portrait"/>
          <w:cols w:equalWidth="0" w:num="1">
            <w:col w:w="9360"/>
          </w:cols>
          <w:pgMar w:left="1440" w:top="992" w:right="1440" w:bottom="161" w:gutter="0" w:footer="0" w:header="0"/>
        </w:sectPr>
      </w:pPr>
    </w:p>
    <w:bookmarkStart w:id="88" w:name="page89"/>
    <w:bookmarkEnd w:id="88"/>
    <w:p>
      <w:pPr>
        <w:ind w:right="60"/>
        <w:spacing w:after="0" w:line="246" w:lineRule="auto"/>
        <w:rPr>
          <w:sz w:val="20"/>
          <w:szCs w:val="20"/>
          <w:color w:val="auto"/>
        </w:rPr>
      </w:pPr>
      <w:r>
        <w:rPr>
          <w:rFonts w:ascii="Arial" w:cs="Arial" w:eastAsia="Arial" w:hAnsi="Arial"/>
          <w:sz w:val="20"/>
          <w:szCs w:val="20"/>
          <w:color w:val="auto"/>
        </w:rPr>
        <w:t>substantially higher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7" w:lineRule="exact"/>
        <w:rPr>
          <w:sz w:val="20"/>
          <w:szCs w:val="20"/>
          <w:color w:val="auto"/>
        </w:rPr>
      </w:pPr>
    </w:p>
    <w:p>
      <w:pPr>
        <w:ind w:right="800"/>
        <w:spacing w:after="0" w:line="264" w:lineRule="auto"/>
        <w:rPr>
          <w:sz w:val="20"/>
          <w:szCs w:val="20"/>
          <w:color w:val="auto"/>
        </w:rPr>
      </w:pPr>
      <w:r>
        <w:rPr>
          <w:rFonts w:ascii="Arial" w:cs="Arial" w:eastAsia="Arial" w:hAnsi="Arial"/>
          <w:sz w:val="20"/>
          <w:szCs w:val="20"/>
          <w:b w:val="1"/>
          <w:bCs w:val="1"/>
          <w:i w:val="1"/>
          <w:iCs w:val="1"/>
          <w:color w:val="auto"/>
        </w:rPr>
        <w:t>We are a smaller reporting company, and we cannot be certain if the reduced reporting requirements applicable to smaller reporting companies will make our common stock less attractive to investors.</w:t>
      </w:r>
    </w:p>
    <w:p>
      <w:pPr>
        <w:spacing w:after="0" w:line="168" w:lineRule="exact"/>
        <w:rPr>
          <w:sz w:val="20"/>
          <w:szCs w:val="20"/>
          <w:color w:val="auto"/>
        </w:rPr>
      </w:pPr>
    </w:p>
    <w:p>
      <w:pPr>
        <w:ind w:right="80" w:firstLine="490"/>
        <w:spacing w:after="0" w:line="242" w:lineRule="auto"/>
        <w:rPr>
          <w:sz w:val="20"/>
          <w:szCs w:val="20"/>
          <w:color w:val="auto"/>
        </w:rPr>
      </w:pPr>
      <w:r>
        <w:rPr>
          <w:rFonts w:ascii="Arial" w:cs="Arial" w:eastAsia="Arial" w:hAnsi="Arial"/>
          <w:sz w:val="20"/>
          <w:szCs w:val="20"/>
          <w:color w:val="auto"/>
        </w:rPr>
        <w:t>We are a smaller reporting company, meaning that the market value of our stock held by non-affiliates is less than $700 million and our annual revenue is less than $100 million during the most recently completed fiscal year. We will continue to be a “smaller reporting company” until (i) the market value of our stock held by non-affiliates is more than $ 700 million or (ii) our annual revenue is more than $100 million during the most recently completed fiscal year and the market value of our stock held by non-affiliates is more than $250 million as of the prior June 30. Being a small reporting company allows us to take advantage of exemptions from various reporting requirements that are applicable to other public companies that are not smaller reporting companies, including not being required to comply with the auditor attestation requirements of Section 404 of the Sarbanes- Oxley Act of 2002, as amended ("the Sarbanes-Oxley Act"), we may choose to present only the two most recent fiscal years of audited financial statements in our Annual Report on Form 10- K and we have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15" w:lineRule="exact"/>
        <w:rPr>
          <w:sz w:val="20"/>
          <w:szCs w:val="20"/>
          <w:color w:val="auto"/>
        </w:rPr>
      </w:pPr>
    </w:p>
    <w:p>
      <w:pPr>
        <w:ind w:right="260"/>
        <w:spacing w:after="0" w:line="288" w:lineRule="auto"/>
        <w:rPr>
          <w:sz w:val="20"/>
          <w:szCs w:val="20"/>
          <w:color w:val="auto"/>
        </w:rPr>
      </w:pPr>
      <w:r>
        <w:rPr>
          <w:rFonts w:ascii="Arial" w:cs="Arial" w:eastAsia="Arial" w:hAnsi="Arial"/>
          <w:sz w:val="20"/>
          <w:szCs w:val="20"/>
          <w:b w:val="1"/>
          <w:bCs w:val="1"/>
          <w:i w:val="1"/>
          <w:iCs w:val="1"/>
          <w:color w:val="auto"/>
        </w:rPr>
        <w:t>The designation of our common stock as “penny stock” would limit the liquidity of our common stock.</w:t>
      </w:r>
    </w:p>
    <w:p>
      <w:pPr>
        <w:spacing w:after="0" w:line="145" w:lineRule="exact"/>
        <w:rPr>
          <w:sz w:val="20"/>
          <w:szCs w:val="20"/>
          <w:color w:val="auto"/>
        </w:rPr>
      </w:pPr>
    </w:p>
    <w:p>
      <w:pPr>
        <w:ind w:right="140" w:firstLine="490"/>
        <w:spacing w:after="0" w:line="243" w:lineRule="auto"/>
        <w:rPr>
          <w:sz w:val="20"/>
          <w:szCs w:val="20"/>
          <w:color w:val="auto"/>
        </w:rPr>
      </w:pPr>
      <w:r>
        <w:rPr>
          <w:rFonts w:ascii="Arial" w:cs="Arial" w:eastAsia="Arial" w:hAnsi="Arial"/>
          <w:sz w:val="20"/>
          <w:szCs w:val="20"/>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spacing w:after="0" w:line="203" w:lineRule="exact"/>
        <w:rPr>
          <w:sz w:val="20"/>
          <w:szCs w:val="20"/>
          <w:color w:val="auto"/>
        </w:rPr>
      </w:pPr>
    </w:p>
    <w:p>
      <w:pPr>
        <w:ind w:right="260"/>
        <w:spacing w:after="0" w:line="288" w:lineRule="auto"/>
        <w:rPr>
          <w:sz w:val="20"/>
          <w:szCs w:val="20"/>
          <w:color w:val="auto"/>
        </w:rPr>
      </w:pPr>
      <w:r>
        <w:rPr>
          <w:rFonts w:ascii="Arial" w:cs="Arial" w:eastAsia="Arial" w:hAnsi="Arial"/>
          <w:sz w:val="20"/>
          <w:szCs w:val="20"/>
          <w:b w:val="1"/>
          <w:bCs w:val="1"/>
          <w:i w:val="1"/>
          <w:iCs w:val="1"/>
          <w:color w:val="auto"/>
        </w:rPr>
        <w:t>FINRA sales practice requirements may limit a stockholder’s ability to buy and sell our common stock.</w:t>
      </w:r>
    </w:p>
    <w:p>
      <w:pPr>
        <w:spacing w:after="0" w:line="145" w:lineRule="exact"/>
        <w:rPr>
          <w:sz w:val="20"/>
          <w:szCs w:val="20"/>
          <w:color w:val="auto"/>
        </w:rPr>
      </w:pPr>
    </w:p>
    <w:p>
      <w:pPr>
        <w:ind w:right="40" w:firstLine="490"/>
        <w:spacing w:after="0" w:line="259" w:lineRule="auto"/>
        <w:rPr>
          <w:sz w:val="20"/>
          <w:szCs w:val="20"/>
          <w:color w:val="auto"/>
        </w:rPr>
      </w:pPr>
      <w:r>
        <w:rPr>
          <w:rFonts w:ascii="Arial" w:cs="Arial" w:eastAsia="Arial" w:hAnsi="Arial"/>
          <w:sz w:val="19"/>
          <w:szCs w:val="19"/>
          <w:color w:val="auto"/>
        </w:rPr>
        <w:t>The Financial Industry Regulatory Authority (“FINRA”) has adopted rules requiring that, in recommending an investment to a customer, a broker -dealer must have reasonable grounds for believing that the investment is suitable for that customer. Prior to recommending speculative or low- priced securities to their non-institutional customers, broker- 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 dealers to recommend that at least some of their customers buy our common stock, which may limit the ability of our</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9360"/>
          </w:cols>
          <w:pgMar w:left="1440" w:top="988" w:right="1440" w:bottom="161" w:gutter="0" w:footer="0" w:header="0"/>
        </w:sectPr>
      </w:pPr>
    </w:p>
    <w:bookmarkStart w:id="89" w:name="page90"/>
    <w:bookmarkEnd w:id="89"/>
    <w:p>
      <w:pPr>
        <w:ind w:right="240"/>
        <w:spacing w:after="0" w:line="282" w:lineRule="auto"/>
        <w:rPr>
          <w:sz w:val="20"/>
          <w:szCs w:val="20"/>
          <w:color w:val="auto"/>
        </w:rPr>
      </w:pPr>
      <w:r>
        <w:rPr>
          <w:rFonts w:ascii="Arial" w:cs="Arial" w:eastAsia="Arial" w:hAnsi="Arial"/>
          <w:sz w:val="20"/>
          <w:szCs w:val="20"/>
          <w:color w:val="auto"/>
        </w:rPr>
        <w:t>stockholders to buy and sell our common stock and could have an adverse effect on the market for and price of our common stock.</w:t>
      </w:r>
    </w:p>
    <w:p>
      <w:pPr>
        <w:spacing w:after="0" w:line="162" w:lineRule="exact"/>
        <w:rPr>
          <w:sz w:val="20"/>
          <w:szCs w:val="20"/>
          <w:color w:val="auto"/>
        </w:rPr>
      </w:pPr>
    </w:p>
    <w:p>
      <w:pPr>
        <w:ind w:right="980"/>
        <w:spacing w:after="0" w:line="288" w:lineRule="auto"/>
        <w:rPr>
          <w:sz w:val="20"/>
          <w:szCs w:val="20"/>
          <w:color w:val="auto"/>
        </w:rPr>
      </w:pPr>
      <w:r>
        <w:rPr>
          <w:rFonts w:ascii="Arial" w:cs="Arial" w:eastAsia="Arial" w:hAnsi="Arial"/>
          <w:sz w:val="20"/>
          <w:szCs w:val="20"/>
          <w:b w:val="1"/>
          <w:bCs w:val="1"/>
          <w:i w:val="1"/>
          <w:iCs w:val="1"/>
          <w:color w:val="auto"/>
        </w:rPr>
        <w:t>The market price of our common stock may be highly volatile, and may be influenced by numerous factors, some of which are beyond our control.</w:t>
      </w:r>
    </w:p>
    <w:p>
      <w:pPr>
        <w:spacing w:after="0" w:line="145" w:lineRule="exact"/>
        <w:rPr>
          <w:sz w:val="20"/>
          <w:szCs w:val="20"/>
          <w:color w:val="auto"/>
        </w:rPr>
      </w:pPr>
    </w:p>
    <w:p>
      <w:pPr>
        <w:ind w:right="60" w:firstLine="490"/>
        <w:spacing w:after="0" w:line="244" w:lineRule="auto"/>
        <w:rPr>
          <w:sz w:val="20"/>
          <w:szCs w:val="20"/>
          <w:color w:val="auto"/>
        </w:rPr>
      </w:pPr>
      <w:r>
        <w:rPr>
          <w:rFonts w:ascii="Arial" w:cs="Arial" w:eastAsia="Arial" w:hAnsi="Arial"/>
          <w:sz w:val="20"/>
          <w:szCs w:val="20"/>
          <w:color w:val="auto"/>
        </w:rPr>
        <w:t>If a market for our common stock develops, its market price could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could be subject to wide fluctuations in response to many risk factors listed in this section, and others beyond our control, including:</w:t>
      </w:r>
    </w:p>
    <w:p>
      <w:pPr>
        <w:spacing w:after="0" w:line="216" w:lineRule="exact"/>
        <w:rPr>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results of clinical trials of our product candidates;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timing of the release of results of our clinical trials;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results of clinical trials of our competitors’ products;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safety issues with respect to our products or our competitors’ products;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regulatory actions with respect to our products or our competitors’ products;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actual or anticipated fluctuations in our financial condition and operating results;</w:t>
      </w:r>
    </w:p>
    <w:p>
      <w:pPr>
        <w:spacing w:after="0" w:line="252" w:lineRule="exact"/>
        <w:rPr>
          <w:rFonts w:ascii="Arial" w:cs="Arial" w:eastAsia="Arial" w:hAnsi="Arial"/>
          <w:sz w:val="20"/>
          <w:szCs w:val="20"/>
          <w:color w:val="auto"/>
        </w:rPr>
      </w:pPr>
    </w:p>
    <w:p>
      <w:pPr>
        <w:ind w:left="980" w:right="680" w:hanging="490"/>
        <w:spacing w:after="0" w:line="282"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publication of research reports by securities analysts about us or our competitors or our industry;</w:t>
      </w:r>
    </w:p>
    <w:p>
      <w:pPr>
        <w:spacing w:after="0" w:line="172" w:lineRule="exact"/>
        <w:rPr>
          <w:rFonts w:ascii="Arial" w:cs="Arial" w:eastAsia="Arial" w:hAnsi="Arial"/>
          <w:sz w:val="20"/>
          <w:szCs w:val="20"/>
          <w:color w:val="auto"/>
        </w:rPr>
      </w:pPr>
    </w:p>
    <w:p>
      <w:pPr>
        <w:ind w:left="980" w:right="60" w:hanging="490"/>
        <w:spacing w:after="0" w:line="285"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our failure or the failure of our competitors to meet analysts’ projections or guidance that we or our competitors may give to the market;</w:t>
      </w:r>
    </w:p>
    <w:p>
      <w:pPr>
        <w:spacing w:after="0" w:line="169"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additions and departures of key personnel;</w:t>
      </w:r>
    </w:p>
    <w:p>
      <w:pPr>
        <w:spacing w:after="0" w:line="252" w:lineRule="exact"/>
        <w:rPr>
          <w:rFonts w:ascii="Arial" w:cs="Arial" w:eastAsia="Arial" w:hAnsi="Arial"/>
          <w:sz w:val="20"/>
          <w:szCs w:val="20"/>
          <w:color w:val="auto"/>
        </w:rPr>
      </w:pPr>
    </w:p>
    <w:p>
      <w:pPr>
        <w:ind w:left="980" w:right="160" w:hanging="490"/>
        <w:spacing w:after="0" w:line="282" w:lineRule="auto"/>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strategic decisions by us or our competitors, such as acquisitions, divestitures, spin-offs, joint ventures, strategic investments or changes in business strategy;</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passage of legislation or other regulatory developments affecting us or our industry;</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fluctuations in the valuation of companies perceived by investors to be comparable to us;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sales of our common stock by us, our insiders or our other stockholders;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speculation in the press or investment community;</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announcement or expectation of additional financing efforts;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in accounting principles;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terrorist acts, acts of war or periods of widespread civil unrest;</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natural disasters and other calamities;</w:t>
      </w:r>
    </w:p>
    <w:p>
      <w:pPr>
        <w:spacing w:after="0" w:line="252" w:lineRule="exact"/>
        <w:rPr>
          <w:rFonts w:ascii="Arial" w:cs="Arial" w:eastAsia="Arial" w:hAnsi="Arial"/>
          <w:sz w:val="20"/>
          <w:szCs w:val="20"/>
          <w:color w:val="auto"/>
        </w:rPr>
      </w:pPr>
    </w:p>
    <w:p>
      <w:pPr>
        <w:ind w:left="980" w:hanging="489"/>
        <w:spacing w:after="0"/>
        <w:tabs>
          <w:tab w:leader="none" w:pos="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 in market conditions for biopharmaceutical stocks; 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9360"/>
          </w:cols>
          <w:pgMar w:left="1440" w:top="988" w:right="1440" w:bottom="161" w:gutter="0" w:footer="0" w:header="0"/>
        </w:sectPr>
      </w:pPr>
    </w:p>
    <w:bookmarkStart w:id="90" w:name="page91"/>
    <w:bookmarkEnd w:id="90"/>
    <w:p>
      <w:pPr>
        <w:ind w:left="980" w:hanging="490"/>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changes in general market and economic conditions.</w:t>
      </w:r>
    </w:p>
    <w:p>
      <w:pPr>
        <w:spacing w:after="0" w:line="240" w:lineRule="exact"/>
        <w:rPr>
          <w:sz w:val="20"/>
          <w:szCs w:val="20"/>
          <w:color w:val="auto"/>
        </w:rPr>
      </w:pPr>
    </w:p>
    <w:p>
      <w:pPr>
        <w:ind w:right="20" w:firstLine="490"/>
        <w:spacing w:after="0" w:line="247" w:lineRule="auto"/>
        <w:rPr>
          <w:sz w:val="20"/>
          <w:szCs w:val="20"/>
          <w:color w:val="auto"/>
        </w:rPr>
      </w:pPr>
      <w:r>
        <w:rPr>
          <w:rFonts w:ascii="Arial" w:cs="Arial" w:eastAsia="Arial" w:hAnsi="Arial"/>
          <w:sz w:val="20"/>
          <w:szCs w:val="20"/>
          <w:color w:val="auto"/>
        </w:rPr>
        <w:t>In addition,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 could adversely affect our business and financial condition.</w:t>
      </w:r>
    </w:p>
    <w:p>
      <w:pPr>
        <w:spacing w:after="0" w:line="236"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4"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We recognize the importance of safeguarding the security of our computer systems, software, networks, and other technology assets. We have implemented and maintain a security risk management program that is designed to preserve the confidentiality, integrity, and continued availability of information under our ownership or care with the aim to continually improve security features in order to keep pace with the evolving cyber threat landscape.</w:t>
      </w:r>
    </w:p>
    <w:p>
      <w:pPr>
        <w:spacing w:after="0" w:line="192"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We face a number of cybersecurity risks in connection with our business and recognize the growing threat within the general marketplace and our industry. Although such risks have not materially affected us, including our business strategy, results of operations or financial condition, to date, we and our vendors have, from time to time, experienced threats to and breaches of our data and systems. For more information about the cybersecurity risks we face, see the section titled “Risk Factors — Risks Related to Information Technology and Data Privacy”.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236" w:lineRule="exact"/>
        <w:rPr>
          <w:sz w:val="20"/>
          <w:szCs w:val="20"/>
          <w:color w:val="auto"/>
        </w:rPr>
      </w:pPr>
    </w:p>
    <w:p>
      <w:pPr>
        <w:ind w:right="20" w:firstLine="490"/>
        <w:spacing w:after="0" w:line="258" w:lineRule="auto"/>
        <w:rPr>
          <w:sz w:val="20"/>
          <w:szCs w:val="20"/>
          <w:color w:val="auto"/>
        </w:rPr>
      </w:pPr>
      <w:r>
        <w:rPr>
          <w:rFonts w:ascii="Arial" w:cs="Arial" w:eastAsia="Arial" w:hAnsi="Arial"/>
          <w:sz w:val="19"/>
          <w:szCs w:val="19"/>
          <w:color w:val="auto"/>
        </w:rPr>
        <w:t>We have implemented internal controls including regular risk assessments designed to address financial, operational and information technology (including cybersecurity) risks and controls across our organization. These assessments are overseen by our Head of IT and Chief Accounting Officer. We implement cybersecurity controls and procedures designed to address cyber risks and threats, supported by third-party technologies and security advisors and providers. We also provide cybersecurity awareness training to our employees during the onboarding process and periodically thereafter. In addition, we engage external third-party information security consultants to periodically conduct information security testing and assessments, and to evaluate our overarching information security program and specific incident response procedures. We also maintain a Cyber Incident Response Plan, which is overseen by our Head of IT and is designed to coordinate our response to information security incidents. Finally,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9360"/>
          </w:cols>
          <w:pgMar w:left="1440" w:top="1000" w:right="1440" w:bottom="161" w:gutter="0" w:footer="0" w:header="0"/>
        </w:sectPr>
      </w:pPr>
    </w:p>
    <w:bookmarkStart w:id="91" w:name="page92"/>
    <w:bookmarkEnd w:id="91"/>
    <w:p>
      <w:pPr>
        <w:ind w:right="500"/>
        <w:spacing w:after="0" w:line="282" w:lineRule="auto"/>
        <w:rPr>
          <w:sz w:val="20"/>
          <w:szCs w:val="20"/>
          <w:color w:val="auto"/>
        </w:rPr>
      </w:pPr>
      <w:r>
        <w:rPr>
          <w:rFonts w:ascii="Arial" w:cs="Arial" w:eastAsia="Arial" w:hAnsi="Arial"/>
          <w:sz w:val="20"/>
          <w:szCs w:val="20"/>
          <w:color w:val="auto"/>
        </w:rPr>
        <w:t>hold and maintain third-party insurance coverage for cybersecurity risks commensurate with industry standards for a company of our size and stage.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Oversight</w:t>
      </w:r>
    </w:p>
    <w:p>
      <w:pPr>
        <w:spacing w:after="0" w:line="236" w:lineRule="exact"/>
        <w:rPr>
          <w:sz w:val="20"/>
          <w:szCs w:val="20"/>
          <w:color w:val="auto"/>
        </w:rPr>
      </w:pPr>
    </w:p>
    <w:p>
      <w:pPr>
        <w:ind w:right="20" w:firstLine="489"/>
        <w:spacing w:after="0" w:line="244" w:lineRule="auto"/>
        <w:rPr>
          <w:sz w:val="20"/>
          <w:szCs w:val="20"/>
          <w:color w:val="auto"/>
        </w:rPr>
      </w:pPr>
      <w:r>
        <w:rPr>
          <w:rFonts w:ascii="Arial" w:cs="Arial" w:eastAsia="Arial" w:hAnsi="Arial"/>
          <w:sz w:val="20"/>
          <w:szCs w:val="20"/>
          <w:color w:val="auto"/>
        </w:rPr>
        <w:t>The Head of IT is responsible for implementing and maintaining the information security program. The Head of IT role is currently held by an individual who has more than 20 years of professional IT management experience and maintains a Global Information Assurance Certification. The Head of IT reports to our Chief Accounting Officer, who together are responsible for coordinating information security risk assessments and overseeing periodic testing of our cybersecurity controls. Our Chief Accounting Officer meets with the audit committee of our board of directors periodically for the audit committee to provide guidance on the prioritization of the risk remediation and ongoing implementation of cybersecurity improvements across our organization. We also engage an external auditing firm with information security expertise to conduct regular auditing, testing, and review of our information technology risks, processes, and operations.</w:t>
      </w:r>
    </w:p>
    <w:p>
      <w:pPr>
        <w:spacing w:after="0" w:line="204" w:lineRule="exact"/>
        <w:rPr>
          <w:sz w:val="20"/>
          <w:szCs w:val="20"/>
          <w:color w:val="auto"/>
        </w:rPr>
      </w:pPr>
    </w:p>
    <w:p>
      <w:pPr>
        <w:ind w:right="80" w:firstLine="490"/>
        <w:spacing w:after="0" w:line="248" w:lineRule="auto"/>
        <w:rPr>
          <w:sz w:val="20"/>
          <w:szCs w:val="20"/>
          <w:color w:val="auto"/>
        </w:rPr>
      </w:pPr>
      <w:r>
        <w:rPr>
          <w:rFonts w:ascii="Arial" w:cs="Arial" w:eastAsia="Arial" w:hAnsi="Arial"/>
          <w:sz w:val="20"/>
          <w:szCs w:val="20"/>
          <w:color w:val="auto"/>
        </w:rPr>
        <w:t>Management also generally provides quarterly updates to the audit committee on cybersecurity and other information technology risks. We have implemented a process for the Head of IT and the Chief Accounting Officer to receive incident reports and report quarterly (and, if applicable, in the event of a cybersecurity incident), to our internal disclosure committee and the audit committee, as appropriate. Management presents to the entire board of directors on an annual basis, including any key findings identified in our cybersecurity assessments.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2" w:lineRule="exact"/>
        <w:rPr>
          <w:sz w:val="20"/>
          <w:szCs w:val="20"/>
          <w:color w:val="auto"/>
        </w:rPr>
      </w:pPr>
    </w:p>
    <w:p>
      <w:pPr>
        <w:ind w:right="100" w:firstLine="490"/>
        <w:spacing w:after="0" w:line="254" w:lineRule="auto"/>
        <w:rPr>
          <w:sz w:val="20"/>
          <w:szCs w:val="20"/>
          <w:color w:val="auto"/>
        </w:rPr>
      </w:pPr>
      <w:r>
        <w:rPr>
          <w:rFonts w:ascii="Arial" w:cs="Arial" w:eastAsia="Arial" w:hAnsi="Arial"/>
          <w:sz w:val="20"/>
          <w:szCs w:val="20"/>
          <w:color w:val="auto"/>
        </w:rPr>
        <w:t>Our corporate headquarters is located at 80 Guest Street, Boston, Massachusetts, and consists of 29,836 square feet of office space and laboratory space pursuant to a lease agreement that expires in May 2031. We believe that these facilities are adequate for our current needs and that suitable additional or substitute space will be available in the future if needed.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2" w:lineRule="exact"/>
        <w:rPr>
          <w:sz w:val="20"/>
          <w:szCs w:val="20"/>
          <w:color w:val="auto"/>
        </w:rPr>
      </w:pPr>
    </w:p>
    <w:p>
      <w:pPr>
        <w:ind w:right="100" w:firstLine="490"/>
        <w:spacing w:after="0" w:line="261" w:lineRule="auto"/>
        <w:rPr>
          <w:sz w:val="20"/>
          <w:szCs w:val="20"/>
          <w:color w:val="auto"/>
        </w:rPr>
      </w:pPr>
      <w:r>
        <w:rPr>
          <w:rFonts w:ascii="Arial" w:cs="Arial" w:eastAsia="Arial" w:hAnsi="Arial"/>
          <w:sz w:val="20"/>
          <w:szCs w:val="20"/>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9360"/>
          </w:cols>
          <w:pgMar w:left="1440" w:top="988" w:right="1440" w:bottom="161"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PART II</w:t>
      </w:r>
    </w:p>
    <w:p>
      <w:pPr>
        <w:spacing w:after="0" w:line="240" w:lineRule="exact"/>
        <w:rPr>
          <w:sz w:val="20"/>
          <w:szCs w:val="20"/>
          <w:color w:val="auto"/>
        </w:rPr>
      </w:pPr>
    </w:p>
    <w:p>
      <w:pPr>
        <w:ind w:right="1040"/>
        <w:spacing w:after="0" w:line="294"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Information and Holders of Record</w:t>
      </w:r>
    </w:p>
    <w:p>
      <w:pPr>
        <w:spacing w:after="0" w:line="236"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auto"/>
        </w:rPr>
        <w:t>On November 2, 2021, shares of our common stock were approved for trading on the Nasdaq Capital Market under the symbol “CMPX”.</w:t>
      </w:r>
    </w:p>
    <w:p>
      <w:pPr>
        <w:spacing w:after="0" w:line="160" w:lineRule="exact"/>
        <w:rPr>
          <w:sz w:val="20"/>
          <w:szCs w:val="20"/>
          <w:color w:val="auto"/>
        </w:rPr>
      </w:pPr>
    </w:p>
    <w:p>
      <w:pPr>
        <w:ind w:right="100" w:firstLine="490"/>
        <w:spacing w:after="0" w:line="260" w:lineRule="auto"/>
        <w:rPr>
          <w:sz w:val="20"/>
          <w:szCs w:val="20"/>
          <w:color w:val="auto"/>
        </w:rPr>
      </w:pPr>
      <w:r>
        <w:rPr>
          <w:rFonts w:ascii="Arial" w:cs="Arial" w:eastAsia="Arial" w:hAnsi="Arial"/>
          <w:sz w:val="20"/>
          <w:szCs w:val="20"/>
          <w:color w:val="auto"/>
        </w:rPr>
        <w:t>As of February 20, 2026, there were approximately 90 stockholders of record of our common stock. The actual number of stockholders is greater than this number and includes stockholders who are beneficial owners but whose shares are held in street name by brokers and other nominees.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44"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auto"/>
        </w:rPr>
        <w:t>We currently intend to retain future earnings, if any, to maintain and expand our operations. We have never declared or paid cash dividends on our common stock and we do not intend to pay any cash dividends on our common stock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42" w:lineRule="exact"/>
        <w:rPr>
          <w:sz w:val="20"/>
          <w:szCs w:val="20"/>
          <w:color w:val="auto"/>
        </w:rPr>
      </w:pPr>
    </w:p>
    <w:p>
      <w:pPr>
        <w:ind w:right="40" w:firstLine="490"/>
        <w:spacing w:after="0" w:line="251" w:lineRule="auto"/>
        <w:rPr>
          <w:sz w:val="20"/>
          <w:szCs w:val="20"/>
          <w:color w:val="auto"/>
        </w:rPr>
      </w:pPr>
      <w:r>
        <w:rPr>
          <w:rFonts w:ascii="Arial" w:cs="Arial" w:eastAsia="Arial" w:hAnsi="Arial"/>
          <w:sz w:val="20"/>
          <w:szCs w:val="20"/>
          <w:color w:val="auto"/>
        </w:rPr>
        <w:t>Our 2020 Stock Option and Incentive Plan (the “2020 Plan”) is the only equity incentive plan approved and adopted by our stockholders and provides for the issuance of shares of our common stock to our officers and other employees, directors and consultants. In addition, in December 2025 our board of directors adopted the Compass Therapeutics, Inc. 2025 Inducement Plan (the “Inducement Plan”) to enable us to grant equity awards to induce highly-qualified prospective employees to accept employment.</w:t>
      </w:r>
    </w:p>
    <w:p>
      <w:pPr>
        <w:spacing w:after="0" w:line="190" w:lineRule="exact"/>
        <w:rPr>
          <w:sz w:val="20"/>
          <w:szCs w:val="20"/>
          <w:color w:val="auto"/>
        </w:rPr>
      </w:pPr>
    </w:p>
    <w:p>
      <w:pPr>
        <w:ind w:right="400" w:firstLine="490"/>
        <w:spacing w:after="0" w:line="282" w:lineRule="auto"/>
        <w:rPr>
          <w:sz w:val="20"/>
          <w:szCs w:val="20"/>
          <w:color w:val="auto"/>
        </w:rPr>
      </w:pPr>
      <w:r>
        <w:rPr>
          <w:rFonts w:ascii="Arial" w:cs="Arial" w:eastAsia="Arial" w:hAnsi="Arial"/>
          <w:sz w:val="20"/>
          <w:szCs w:val="20"/>
          <w:color w:val="auto"/>
        </w:rPr>
        <w:t>The following table presents information as of December 31, 2025 with respect to compensation plans or arrangements under which shares of our common stock may be issued: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00" w:type="dxa"/>
            <w:vAlign w:val="bottom"/>
          </w:tcPr>
          <w:p>
            <w:pPr>
              <w:spacing w:after="0"/>
              <w:rPr>
                <w:sz w:val="13"/>
                <w:szCs w:val="13"/>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6"/>
              </w:rPr>
              <w:t>Number of securities to be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Number of securities</w:t>
            </w:r>
          </w:p>
        </w:tc>
      </w:tr>
      <w:tr>
        <w:trPr>
          <w:trHeight w:val="154"/>
        </w:trPr>
        <w:tc>
          <w:tcPr>
            <w:tcW w:w="3400" w:type="dxa"/>
            <w:vAlign w:val="bottom"/>
          </w:tcPr>
          <w:p>
            <w:pPr>
              <w:spacing w:after="0"/>
              <w:rPr>
                <w:sz w:val="13"/>
                <w:szCs w:val="13"/>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7"/>
              </w:rPr>
              <w:t>issued upon exercise of</w:t>
            </w:r>
          </w:p>
        </w:tc>
        <w:tc>
          <w:tcPr>
            <w:tcW w:w="18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Weighted-average exercise price</w:t>
            </w:r>
          </w:p>
        </w:tc>
        <w:tc>
          <w:tcPr>
            <w:tcW w:w="120" w:type="dxa"/>
            <w:vAlign w:val="bottom"/>
          </w:tcPr>
          <w:p>
            <w:pPr>
              <w:spacing w:after="0"/>
              <w:rPr>
                <w:sz w:val="13"/>
                <w:szCs w:val="13"/>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remaining available for</w:t>
            </w:r>
          </w:p>
        </w:tc>
      </w:tr>
      <w:tr>
        <w:trPr>
          <w:trHeight w:val="154"/>
        </w:trPr>
        <w:tc>
          <w:tcPr>
            <w:tcW w:w="3400" w:type="dxa"/>
            <w:vAlign w:val="bottom"/>
          </w:tcPr>
          <w:p>
            <w:pPr>
              <w:spacing w:after="0"/>
              <w:rPr>
                <w:sz w:val="13"/>
                <w:szCs w:val="13"/>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7"/>
              </w:rPr>
              <w:t>outstanding stock options,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right"/>
              <w:ind w:right="112"/>
              <w:spacing w:after="0"/>
              <w:rPr>
                <w:sz w:val="20"/>
                <w:szCs w:val="20"/>
                <w:color w:val="auto"/>
              </w:rPr>
            </w:pPr>
            <w:r>
              <w:rPr>
                <w:rFonts w:ascii="Arial" w:cs="Arial" w:eastAsia="Arial" w:hAnsi="Arial"/>
                <w:sz w:val="12"/>
                <w:szCs w:val="12"/>
                <w:b w:val="1"/>
                <w:bCs w:val="1"/>
                <w:color w:val="auto"/>
                <w:w w:val="96"/>
              </w:rPr>
              <w:t>of outstanding stock options,</w:t>
            </w:r>
          </w:p>
        </w:tc>
        <w:tc>
          <w:tcPr>
            <w:tcW w:w="120" w:type="dxa"/>
            <w:vAlign w:val="bottom"/>
          </w:tcPr>
          <w:p>
            <w:pPr>
              <w:spacing w:after="0"/>
              <w:rPr>
                <w:sz w:val="13"/>
                <w:szCs w:val="13"/>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issuance under equity</w:t>
            </w:r>
          </w:p>
        </w:tc>
      </w:tr>
      <w:tr>
        <w:trPr>
          <w:trHeight w:val="159"/>
        </w:trPr>
        <w:tc>
          <w:tcPr>
            <w:tcW w:w="3400" w:type="dxa"/>
            <w:vAlign w:val="bottom"/>
            <w:tcBorders>
              <w:bottom w:val="single" w:sz="8" w:color="D4EFF3"/>
            </w:tcBorders>
          </w:tcPr>
          <w:p>
            <w:pPr>
              <w:ind w:left="20"/>
              <w:spacing w:after="0"/>
              <w:rPr>
                <w:sz w:val="20"/>
                <w:szCs w:val="20"/>
                <w:color w:val="auto"/>
              </w:rPr>
            </w:pPr>
            <w:r>
              <w:rPr>
                <w:rFonts w:ascii="Arial" w:cs="Arial" w:eastAsia="Arial" w:hAnsi="Arial"/>
                <w:sz w:val="12"/>
                <w:szCs w:val="12"/>
                <w:b w:val="1"/>
                <w:bCs w:val="1"/>
                <w:color w:val="auto"/>
              </w:rPr>
              <w:t>Plan category</w:t>
            </w: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warrants and rights (000's)</w:t>
            </w:r>
          </w:p>
        </w:tc>
        <w:tc>
          <w:tcPr>
            <w:tcW w:w="180" w:type="dxa"/>
            <w:vAlign w:val="bottom"/>
            <w:tcBorders>
              <w:bottom w:val="single" w:sz="8" w:color="D4EFF3"/>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warrants and rights</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D4EFF3"/>
            </w:tcBorders>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compensation plans (000's)</w:t>
            </w:r>
          </w:p>
        </w:tc>
        <w:tc>
          <w:tcPr>
            <w:tcW w:w="140" w:type="dxa"/>
            <w:vAlign w:val="bottom"/>
          </w:tcPr>
          <w:p>
            <w:pPr>
              <w:spacing w:after="0"/>
              <w:rPr>
                <w:sz w:val="13"/>
                <w:szCs w:val="13"/>
                <w:color w:val="auto"/>
              </w:rPr>
            </w:pPr>
          </w:p>
        </w:tc>
      </w:tr>
      <w:tr>
        <w:trPr>
          <w:trHeight w:val="207"/>
        </w:trPr>
        <w:tc>
          <w:tcPr>
            <w:tcW w:w="3400" w:type="dxa"/>
            <w:vAlign w:val="bottom"/>
            <w:shd w:val="clear" w:color="auto" w:fill="D4EFF3"/>
          </w:tcPr>
          <w:p>
            <w:pPr>
              <w:ind w:left="20"/>
              <w:spacing w:after="0"/>
              <w:rPr>
                <w:sz w:val="20"/>
                <w:szCs w:val="20"/>
                <w:color w:val="auto"/>
              </w:rPr>
            </w:pPr>
            <w:r>
              <w:rPr>
                <w:rFonts w:ascii="Arial" w:cs="Arial" w:eastAsia="Arial" w:hAnsi="Arial"/>
                <w:sz w:val="12"/>
                <w:szCs w:val="12"/>
                <w:color w:val="auto"/>
              </w:rPr>
              <w:t>Equity compensation plans approved by security holders</w:t>
            </w:r>
          </w:p>
        </w:tc>
        <w:tc>
          <w:tcPr>
            <w:tcW w:w="1880" w:type="dxa"/>
            <w:vAlign w:val="bottom"/>
            <w:gridSpan w:val="2"/>
            <w:shd w:val="clear" w:color="auto" w:fill="D4EFF3"/>
          </w:tcPr>
          <w:p>
            <w:pPr>
              <w:ind w:left="1200"/>
              <w:spacing w:after="0" w:line="207" w:lineRule="exact"/>
              <w:rPr>
                <w:sz w:val="20"/>
                <w:szCs w:val="20"/>
                <w:color w:val="auto"/>
              </w:rPr>
            </w:pPr>
            <w:r>
              <w:rPr>
                <w:rFonts w:ascii="Arial" w:cs="Arial" w:eastAsia="Arial" w:hAnsi="Arial"/>
                <w:sz w:val="15"/>
                <w:szCs w:val="15"/>
                <w:color w:val="auto"/>
              </w:rPr>
              <w:t xml:space="preserve">17,380 </w:t>
            </w:r>
            <w:r>
              <w:rPr>
                <w:rFonts w:ascii="Arial" w:cs="Arial" w:eastAsia="Arial" w:hAnsi="Arial"/>
                <w:sz w:val="19"/>
                <w:szCs w:val="19"/>
                <w:color w:val="auto"/>
                <w:vertAlign w:val="superscript"/>
              </w:rPr>
              <w:t>(1)</w:t>
            </w:r>
          </w:p>
        </w:tc>
        <w:tc>
          <w:tcPr>
            <w:tcW w:w="340" w:type="dxa"/>
            <w:vAlign w:val="bottom"/>
            <w:gridSpan w:val="2"/>
            <w:shd w:val="clear" w:color="auto" w:fill="D4EFF3"/>
          </w:tcPr>
          <w:p>
            <w:pPr>
              <w:ind w:left="26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D4EFF3"/>
          </w:tcPr>
          <w:p>
            <w:pPr>
              <w:jc w:val="right"/>
              <w:ind w:right="13"/>
              <w:spacing w:after="0"/>
              <w:rPr>
                <w:sz w:val="20"/>
                <w:szCs w:val="20"/>
                <w:color w:val="auto"/>
              </w:rPr>
            </w:pPr>
            <w:r>
              <w:rPr>
                <w:rFonts w:ascii="Arial" w:cs="Arial" w:eastAsia="Arial" w:hAnsi="Arial"/>
                <w:sz w:val="15"/>
                <w:szCs w:val="15"/>
                <w:color w:val="auto"/>
              </w:rPr>
              <w:t>3.13</w:t>
            </w:r>
          </w:p>
        </w:tc>
        <w:tc>
          <w:tcPr>
            <w:tcW w:w="280" w:type="dxa"/>
            <w:vAlign w:val="bottom"/>
            <w:shd w:val="clear" w:color="auto" w:fill="D4EFF3"/>
          </w:tcPr>
          <w:p>
            <w:pPr>
              <w:jc w:val="right"/>
              <w:ind w:right="112"/>
              <w:spacing w:after="0"/>
              <w:rPr>
                <w:sz w:val="20"/>
                <w:szCs w:val="20"/>
                <w:color w:val="auto"/>
              </w:rPr>
            </w:pPr>
            <w:r>
              <w:rPr>
                <w:rFonts w:ascii="Arial" w:cs="Arial" w:eastAsia="Arial" w:hAnsi="Arial"/>
                <w:sz w:val="10"/>
                <w:szCs w:val="10"/>
                <w:color w:val="auto"/>
                <w:w w:val="81"/>
              </w:rPr>
              <w:t>(1)</w:t>
            </w:r>
          </w:p>
        </w:tc>
        <w:tc>
          <w:tcPr>
            <w:tcW w:w="1780" w:type="dxa"/>
            <w:vAlign w:val="bottom"/>
            <w:gridSpan w:val="2"/>
            <w:shd w:val="clear" w:color="auto" w:fill="D4EFF3"/>
          </w:tcPr>
          <w:p>
            <w:pPr>
              <w:ind w:left="1380"/>
              <w:spacing w:after="0"/>
              <w:rPr>
                <w:sz w:val="20"/>
                <w:szCs w:val="20"/>
                <w:color w:val="auto"/>
              </w:rPr>
            </w:pPr>
            <w:r>
              <w:rPr>
                <w:rFonts w:ascii="Arial" w:cs="Arial" w:eastAsia="Arial" w:hAnsi="Arial"/>
                <w:sz w:val="15"/>
                <w:szCs w:val="15"/>
                <w:color w:val="auto"/>
              </w:rPr>
              <w:t>5,265</w:t>
            </w:r>
          </w:p>
        </w:tc>
        <w:tc>
          <w:tcPr>
            <w:tcW w:w="140" w:type="dxa"/>
            <w:vAlign w:val="bottom"/>
          </w:tcPr>
          <w:p>
            <w:pPr>
              <w:spacing w:after="0"/>
              <w:rPr>
                <w:sz w:val="18"/>
                <w:szCs w:val="18"/>
                <w:color w:val="auto"/>
              </w:rPr>
            </w:pPr>
          </w:p>
        </w:tc>
      </w:tr>
      <w:tr>
        <w:trPr>
          <w:trHeight w:val="195"/>
        </w:trPr>
        <w:tc>
          <w:tcPr>
            <w:tcW w:w="3400" w:type="dxa"/>
            <w:vAlign w:val="bottom"/>
          </w:tcPr>
          <w:p>
            <w:pPr>
              <w:ind w:left="20"/>
              <w:spacing w:after="0"/>
              <w:rPr>
                <w:sz w:val="20"/>
                <w:szCs w:val="20"/>
                <w:color w:val="auto"/>
              </w:rPr>
            </w:pPr>
            <w:r>
              <w:rPr>
                <w:rFonts w:ascii="Arial" w:cs="Arial" w:eastAsia="Arial" w:hAnsi="Arial"/>
                <w:sz w:val="12"/>
                <w:szCs w:val="12"/>
                <w:color w:val="auto"/>
              </w:rPr>
              <w:t>Equity compensation plans not approved by security holders</w:t>
            </w:r>
          </w:p>
        </w:tc>
        <w:tc>
          <w:tcPr>
            <w:tcW w:w="1880" w:type="dxa"/>
            <w:vAlign w:val="bottom"/>
            <w:gridSpan w:val="2"/>
          </w:tcPr>
          <w:p>
            <w:pPr>
              <w:ind w:left="1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920" w:type="dxa"/>
            <w:vAlign w:val="bottom"/>
            <w:gridSpan w:val="3"/>
          </w:tcPr>
          <w:p>
            <w:pPr>
              <w:ind w:left="1380"/>
              <w:spacing w:after="0" w:line="195" w:lineRule="exact"/>
              <w:rPr>
                <w:sz w:val="20"/>
                <w:szCs w:val="20"/>
                <w:color w:val="auto"/>
              </w:rPr>
            </w:pPr>
            <w:r>
              <w:rPr>
                <w:rFonts w:ascii="Arial" w:cs="Arial" w:eastAsia="Arial" w:hAnsi="Arial"/>
                <w:sz w:val="15"/>
                <w:szCs w:val="15"/>
                <w:color w:val="auto"/>
                <w:w w:val="90"/>
              </w:rPr>
              <w:t xml:space="preserve">4,000 </w:t>
            </w:r>
            <w:r>
              <w:rPr>
                <w:rFonts w:ascii="Arial" w:cs="Arial" w:eastAsia="Arial" w:hAnsi="Arial"/>
                <w:sz w:val="19"/>
                <w:szCs w:val="19"/>
                <w:color w:val="auto"/>
                <w:w w:val="90"/>
                <w:vertAlign w:val="superscript"/>
              </w:rPr>
              <w:t>(2)</w:t>
            </w:r>
          </w:p>
        </w:tc>
      </w:tr>
      <w:tr>
        <w:trPr>
          <w:trHeight w:val="178"/>
        </w:trPr>
        <w:tc>
          <w:tcPr>
            <w:tcW w:w="3400" w:type="dxa"/>
            <w:vAlign w:val="bottom"/>
            <w:tcBorders>
              <w:top w:val="single" w:sz="8" w:color="D4EFF3"/>
              <w:bottom w:val="single" w:sz="8" w:color="D4EFF3"/>
            </w:tcBorders>
            <w:shd w:val="clear" w:color="auto" w:fill="D4EFF3"/>
          </w:tcPr>
          <w:p>
            <w:pPr>
              <w:ind w:left="140"/>
              <w:spacing w:after="0" w:line="163" w:lineRule="exact"/>
              <w:rPr>
                <w:sz w:val="20"/>
                <w:szCs w:val="20"/>
                <w:color w:val="auto"/>
              </w:rPr>
            </w:pPr>
            <w:r>
              <w:rPr>
                <w:rFonts w:ascii="Arial" w:cs="Arial" w:eastAsia="Arial" w:hAnsi="Arial"/>
                <w:sz w:val="15"/>
                <w:szCs w:val="15"/>
                <w:color w:val="auto"/>
              </w:rPr>
              <w:t>Total</w:t>
            </w:r>
          </w:p>
        </w:tc>
        <w:tc>
          <w:tcPr>
            <w:tcW w:w="1660" w:type="dxa"/>
            <w:vAlign w:val="bottom"/>
            <w:tcBorders>
              <w:top w:val="single" w:sz="8" w:color="auto"/>
              <w:bottom w:val="single" w:sz="8" w:color="auto"/>
            </w:tcBorders>
            <w:shd w:val="clear" w:color="auto" w:fill="D4EFF3"/>
          </w:tcPr>
          <w:p>
            <w:pPr>
              <w:ind w:left="1200"/>
              <w:spacing w:after="0" w:line="163" w:lineRule="exact"/>
              <w:rPr>
                <w:sz w:val="20"/>
                <w:szCs w:val="20"/>
                <w:color w:val="auto"/>
              </w:rPr>
            </w:pPr>
            <w:r>
              <w:rPr>
                <w:rFonts w:ascii="Arial" w:cs="Arial" w:eastAsia="Arial" w:hAnsi="Arial"/>
                <w:sz w:val="15"/>
                <w:szCs w:val="15"/>
                <w:color w:val="auto"/>
                <w:w w:val="95"/>
              </w:rPr>
              <w:t>17,380</w:t>
            </w:r>
          </w:p>
        </w:tc>
        <w:tc>
          <w:tcPr>
            <w:tcW w:w="220" w:type="dxa"/>
            <w:vAlign w:val="bottom"/>
            <w:tcBorders>
              <w:top w:val="single" w:sz="8" w:color="D4EFF3"/>
              <w:bottom w:val="single" w:sz="8" w:color="D4EFF3"/>
            </w:tcBorders>
            <w:shd w:val="clear" w:color="auto" w:fill="D4EFF3"/>
          </w:tcPr>
          <w:p>
            <w:pPr>
              <w:spacing w:after="0"/>
              <w:rPr>
                <w:sz w:val="15"/>
                <w:szCs w:val="15"/>
                <w:color w:val="auto"/>
              </w:rPr>
            </w:pPr>
          </w:p>
        </w:tc>
        <w:tc>
          <w:tcPr>
            <w:tcW w:w="180" w:type="dxa"/>
            <w:vAlign w:val="bottom"/>
            <w:tcBorders>
              <w:top w:val="single" w:sz="8" w:color="D4EFF3"/>
              <w:bottom w:val="single" w:sz="8" w:color="D4EFF3"/>
            </w:tcBorders>
            <w:shd w:val="clear" w:color="auto" w:fill="D4EFF3"/>
          </w:tcPr>
          <w:p>
            <w:pPr>
              <w:spacing w:after="0"/>
              <w:rPr>
                <w:sz w:val="15"/>
                <w:szCs w:val="15"/>
                <w:color w:val="auto"/>
              </w:rPr>
            </w:pPr>
          </w:p>
        </w:tc>
        <w:tc>
          <w:tcPr>
            <w:tcW w:w="160" w:type="dxa"/>
            <w:vAlign w:val="bottom"/>
            <w:tcBorders>
              <w:top w:val="single" w:sz="8" w:color="auto"/>
              <w:bottom w:val="single" w:sz="8" w:color="auto"/>
            </w:tcBorders>
            <w:shd w:val="clear" w:color="auto" w:fill="D4EFF3"/>
          </w:tcPr>
          <w:p>
            <w:pPr>
              <w:ind w:left="80"/>
              <w:spacing w:after="0" w:line="163" w:lineRule="exact"/>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D4EFF3"/>
          </w:tcPr>
          <w:p>
            <w:pPr>
              <w:jc w:val="right"/>
              <w:ind w:right="13"/>
              <w:spacing w:after="0" w:line="163" w:lineRule="exact"/>
              <w:rPr>
                <w:sz w:val="20"/>
                <w:szCs w:val="20"/>
                <w:color w:val="auto"/>
              </w:rPr>
            </w:pPr>
            <w:r>
              <w:rPr>
                <w:rFonts w:ascii="Arial" w:cs="Arial" w:eastAsia="Arial" w:hAnsi="Arial"/>
                <w:sz w:val="15"/>
                <w:szCs w:val="15"/>
                <w:color w:val="auto"/>
              </w:rPr>
              <w:t>3.13</w:t>
            </w:r>
          </w:p>
        </w:tc>
        <w:tc>
          <w:tcPr>
            <w:tcW w:w="280" w:type="dxa"/>
            <w:vAlign w:val="bottom"/>
            <w:tcBorders>
              <w:top w:val="single" w:sz="8" w:color="D4EFF3"/>
              <w:bottom w:val="single" w:sz="8" w:color="D4EFF3"/>
            </w:tcBorders>
            <w:shd w:val="clear" w:color="auto" w:fill="D4EFF3"/>
          </w:tcPr>
          <w:p>
            <w:pPr>
              <w:spacing w:after="0"/>
              <w:rPr>
                <w:sz w:val="15"/>
                <w:szCs w:val="15"/>
                <w:color w:val="auto"/>
              </w:rPr>
            </w:pPr>
          </w:p>
        </w:tc>
        <w:tc>
          <w:tcPr>
            <w:tcW w:w="120" w:type="dxa"/>
            <w:vAlign w:val="bottom"/>
            <w:tcBorders>
              <w:top w:val="single" w:sz="8" w:color="D4EFF3"/>
              <w:bottom w:val="single" w:sz="8" w:color="D4EFF3"/>
            </w:tcBorders>
            <w:shd w:val="clear" w:color="auto" w:fill="D4EFF3"/>
          </w:tcPr>
          <w:p>
            <w:pPr>
              <w:spacing w:after="0"/>
              <w:rPr>
                <w:sz w:val="15"/>
                <w:szCs w:val="15"/>
                <w:color w:val="auto"/>
              </w:rPr>
            </w:pPr>
          </w:p>
        </w:tc>
        <w:tc>
          <w:tcPr>
            <w:tcW w:w="1660" w:type="dxa"/>
            <w:vAlign w:val="bottom"/>
            <w:tcBorders>
              <w:top w:val="single" w:sz="8" w:color="auto"/>
              <w:bottom w:val="single" w:sz="8" w:color="auto"/>
            </w:tcBorders>
            <w:shd w:val="clear" w:color="auto" w:fill="D4EFF3"/>
          </w:tcPr>
          <w:p>
            <w:pPr>
              <w:ind w:left="1280"/>
              <w:spacing w:after="0" w:line="163" w:lineRule="exact"/>
              <w:rPr>
                <w:sz w:val="20"/>
                <w:szCs w:val="20"/>
                <w:color w:val="auto"/>
              </w:rPr>
            </w:pPr>
            <w:r>
              <w:rPr>
                <w:rFonts w:ascii="Arial" w:cs="Arial" w:eastAsia="Arial" w:hAnsi="Arial"/>
                <w:sz w:val="15"/>
                <w:szCs w:val="15"/>
                <w:color w:val="auto"/>
                <w:w w:val="95"/>
              </w:rPr>
              <w:t>9,265</w:t>
            </w:r>
          </w:p>
        </w:tc>
        <w:tc>
          <w:tcPr>
            <w:tcW w:w="140" w:type="dxa"/>
            <w:vAlign w:val="bottom"/>
          </w:tcPr>
          <w:p>
            <w:pPr>
              <w:spacing w:after="0"/>
              <w:rPr>
                <w:sz w:val="15"/>
                <w:szCs w:val="15"/>
                <w:color w:val="auto"/>
              </w:rPr>
            </w:pPr>
          </w:p>
        </w:tc>
      </w:tr>
    </w:tbl>
    <w:p>
      <w:pPr>
        <w:spacing w:after="0" w:line="200" w:lineRule="exact"/>
        <w:rPr>
          <w:sz w:val="20"/>
          <w:szCs w:val="20"/>
          <w:color w:val="auto"/>
        </w:rPr>
      </w:pPr>
    </w:p>
    <w:p>
      <w:pPr>
        <w:spacing w:after="0" w:line="208" w:lineRule="exact"/>
        <w:rPr>
          <w:sz w:val="20"/>
          <w:szCs w:val="20"/>
          <w:color w:val="auto"/>
        </w:rPr>
      </w:pPr>
    </w:p>
    <w:p>
      <w:pPr>
        <w:ind w:left="700" w:right="160" w:hanging="412"/>
        <w:spacing w:after="0" w:line="247"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1.0 million shares of common stock issuable (subject to vesting) with respect to restricted stock units granted pursuant to the 2020 Plan; 250 thousand at a grant date fair market value of $3.93 per share, 300 thousand at a grant date fair market value of $1.65 per share and 478 thousand at a grant date fair market value of $1.93 per share. This value is not included in the weighted average exercise price.</w:t>
      </w:r>
    </w:p>
    <w:p>
      <w:pPr>
        <w:ind w:left="700" w:right="60" w:hanging="412"/>
        <w:spacing w:after="0" w:line="248"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December 2025, we adopted the Compass Therapeutics, Inc. 2025 Inducement Plan in accordance with Nasdaq Listing Rule 5635(c)(4). There were no issues from this plan as of December 31, 2025. On January 1, 2026, a total of two million options were granted as part of the Inducement Plan to two new officers.</w:t>
      </w:r>
    </w:p>
    <w:p>
      <w:pPr>
        <w:spacing w:after="0" w:line="196" w:lineRule="exact"/>
        <w:rPr>
          <w:sz w:val="20"/>
          <w:szCs w:val="20"/>
          <w:color w:val="auto"/>
        </w:rPr>
      </w:pPr>
    </w:p>
    <w:p>
      <w:pPr>
        <w:ind w:right="60" w:firstLine="288"/>
        <w:spacing w:after="0" w:line="253" w:lineRule="auto"/>
        <w:rPr>
          <w:sz w:val="20"/>
          <w:szCs w:val="20"/>
          <w:color w:val="auto"/>
        </w:rPr>
      </w:pPr>
      <w:r>
        <w:rPr>
          <w:rFonts w:ascii="Arial" w:cs="Arial" w:eastAsia="Arial" w:hAnsi="Arial"/>
          <w:sz w:val="20"/>
          <w:szCs w:val="20"/>
          <w:color w:val="auto"/>
        </w:rPr>
        <w:t>On January 1, 2026, an additional 7.1 million shares became available for issuance for a total of 12.4 million shares available for future issuance under equity compensation plans approved by security holders. For further description of the equity compensation plans, see Note 9 to the consolidated financial statements included in this Annual Report on Form 10-K.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9360"/>
          </w:cols>
          <w:pgMar w:left="1440" w:top="984" w:right="1440" w:bottom="161"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0" w:lineRule="exact"/>
        <w:rPr>
          <w:sz w:val="20"/>
          <w:szCs w:val="20"/>
          <w:color w:val="auto"/>
        </w:rPr>
      </w:pPr>
    </w:p>
    <w:p>
      <w:pPr>
        <w:ind w:right="460" w:firstLine="540"/>
        <w:spacing w:after="0" w:line="257" w:lineRule="auto"/>
        <w:rPr>
          <w:sz w:val="20"/>
          <w:szCs w:val="20"/>
          <w:color w:val="auto"/>
        </w:rPr>
      </w:pPr>
      <w:r>
        <w:rPr>
          <w:rFonts w:ascii="Arial" w:cs="Arial" w:eastAsia="Arial" w:hAnsi="Arial"/>
          <w:sz w:val="20"/>
          <w:szCs w:val="20"/>
          <w:i w:val="1"/>
          <w:iCs w:val="1"/>
          <w:color w:val="auto"/>
        </w:rPr>
        <w:t>Unless otherwise stated or the context otherwise indicates, references to the “Company”, “we”, “our”, “us” or similar terms refer to Compass Therapeutics, Inc. together with its wholly-owned subsidiaries, which we refer to as Compass Therapeutics.</w:t>
      </w:r>
    </w:p>
    <w:p>
      <w:pPr>
        <w:spacing w:after="0" w:line="192" w:lineRule="exact"/>
        <w:rPr>
          <w:sz w:val="20"/>
          <w:szCs w:val="20"/>
          <w:color w:val="auto"/>
        </w:rPr>
      </w:pPr>
    </w:p>
    <w:p>
      <w:pPr>
        <w:ind w:firstLine="490"/>
        <w:spacing w:after="0" w:line="244" w:lineRule="auto"/>
        <w:rPr>
          <w:sz w:val="20"/>
          <w:szCs w:val="20"/>
          <w:color w:val="auto"/>
        </w:rPr>
      </w:pPr>
      <w:r>
        <w:rPr>
          <w:rFonts w:ascii="Arial" w:cs="Arial" w:eastAsia="Arial" w:hAnsi="Arial"/>
          <w:sz w:val="20"/>
          <w:szCs w:val="20"/>
          <w:i w:val="1"/>
          <w:iCs w:val="1"/>
          <w:color w:val="auto"/>
        </w:rPr>
        <w:t>You should read the following discussion and analysis of our financial condition and results of operations together with our consolidated financial statements and the related notes and other financial information included in this Form 10-K. Some of the information contained in this discussion and analysis or set forth elsewhere in this Form 10-K, including information with respect to our plans and strategy for our business, includes forward-looking statements that involve risks and uncertainties as described under the heading “Special Note Regarding Forward-Looking Statements” elsewhere in this Form 10-K. You should review the disclosure under the heading “Risk Factors” in this Form 10-K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4"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We are a clinical-stage, oncology-focused biopharmaceutical company developing proprietary antibody -based therapeutics to treat multiple human diseases. Our scientific focus is on the relationship between angiogenesis, the immune system, and tumor growth. Our pipeline of novel product candidates is designed to target multiple critical biological pathways required for an effective anti-tumor response. These include modulation of the microvasculature via angiogenesis-targeted agents, induction of a potent immune response via activators on effector cells in the tumor microenvironment, and alleviation of immunosuppressive mechanisms used by tumors to evade immune surveillance. We plan to advance our product candidates through clinical development and commercialization as both standalone therapies and in combination with proprietary pipeline antibodies based on supportive clinical and nonclinical data.</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Financial Overview</w:t>
      </w:r>
    </w:p>
    <w:p>
      <w:pPr>
        <w:spacing w:after="0" w:line="234" w:lineRule="exact"/>
        <w:rPr>
          <w:sz w:val="20"/>
          <w:szCs w:val="20"/>
          <w:color w:val="auto"/>
        </w:rPr>
      </w:pPr>
    </w:p>
    <w:p>
      <w:pPr>
        <w:ind w:right="20" w:firstLine="490"/>
        <w:spacing w:after="0" w:line="251" w:lineRule="auto"/>
        <w:rPr>
          <w:sz w:val="20"/>
          <w:szCs w:val="20"/>
          <w:color w:val="auto"/>
        </w:rPr>
      </w:pPr>
      <w:r>
        <w:rPr>
          <w:rFonts w:ascii="Arial" w:cs="Arial" w:eastAsia="Arial" w:hAnsi="Arial"/>
          <w:sz w:val="20"/>
          <w:szCs w:val="20"/>
          <w:color w:val="auto"/>
        </w:rPr>
        <w:t>Since our inception, we have devoted substantially all of our efforts to organizing and staffing our Company, business planning, raising capital, research and development activities, building our intellectual property portfolio and providing general and administrative support for these operations. We have funded our operations primarily with proceeds from the sale of equity securities of $568 million through December 31, 2025.</w:t>
      </w:r>
    </w:p>
    <w:p>
      <w:pPr>
        <w:spacing w:after="0" w:line="190"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We have incurred significant operating losses since inception. We have not generated any revenue since our inception and do not expect to generate any revenue from the sale of products in the near future, if at all. Our ability to generate product revenue sufficient to achieve profitability will depend heavily on the successful development and eventual commercialization of our therapies and any future product candidates. Our net losses were $66 million and $49 million for the years ended December 31, 2025 and 2024, respectively, and as of December 31, 2025, we had an accumulated deficit of $431 million. We expect to continue to incur significant expenses for at least the next several years as we advance through clinical development, develop additional product candidates and seek regulatory approval of any product candidates that complete clinical development. In addition, if we obtain marketing approval for any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204" w:lineRule="exact"/>
        <w:rPr>
          <w:sz w:val="20"/>
          <w:szCs w:val="20"/>
          <w:color w:val="auto"/>
        </w:rPr>
      </w:pPr>
    </w:p>
    <w:p>
      <w:pPr>
        <w:ind w:right="120" w:firstLine="490"/>
        <w:spacing w:after="0" w:line="245" w:lineRule="auto"/>
        <w:rPr>
          <w:sz w:val="20"/>
          <w:szCs w:val="20"/>
          <w:color w:val="auto"/>
        </w:rPr>
      </w:pPr>
      <w:r>
        <w:rPr>
          <w:rFonts w:ascii="Arial" w:cs="Arial" w:eastAsia="Arial" w:hAnsi="Arial"/>
          <w:sz w:val="20"/>
          <w:szCs w:val="20"/>
          <w:color w:val="auto"/>
        </w:rPr>
        <w:t>As a result, we will need substantial additional funding to support our continuing operations and pursue our growth strategy. Until such time as we can generate significant revenue from product sales, if ever, we expect to finance our operations through equity and debt financings, or other capital sources, which may include collaborations with other companies or other strategic transactions. As of December 31, 2025, we had $209 million in cash, cash equivalents and marketable securities. Based on our research and development plans, we expect that these cash resources will enable us to fund our operating expenses and capital expenditures requirements into 2028. We may be unable to raise additional funds or enter into such other agreements or arrangements when needed on favorable terms, or at all. If we fail to raise capital or enter into such agreements as and when needed, we may have 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9360"/>
          </w:cols>
          <w:pgMar w:left="1440" w:top="984" w:right="1440" w:bottom="161" w:gutter="0" w:footer="0" w:header="0"/>
        </w:sectPr>
      </w:pPr>
    </w:p>
    <w:bookmarkStart w:id="94" w:name="page95"/>
    <w:bookmarkEnd w:id="94"/>
    <w:p>
      <w:pPr>
        <w:ind w:right="480"/>
        <w:spacing w:after="0" w:line="282" w:lineRule="auto"/>
        <w:rPr>
          <w:sz w:val="20"/>
          <w:szCs w:val="20"/>
          <w:color w:val="auto"/>
        </w:rPr>
      </w:pPr>
      <w:r>
        <w:rPr>
          <w:rFonts w:ascii="Arial" w:cs="Arial" w:eastAsia="Arial" w:hAnsi="Arial"/>
          <w:sz w:val="20"/>
          <w:szCs w:val="20"/>
          <w:color w:val="auto"/>
        </w:rPr>
        <w:t>significantly delay, reduce or eliminate the development and commercialization of one or more of our product candidates or delay our pursuit of potential in-licenses or acquisitions.</w:t>
      </w:r>
    </w:p>
    <w:p>
      <w:pPr>
        <w:spacing w:after="0" w:line="158" w:lineRule="exact"/>
        <w:rPr>
          <w:sz w:val="20"/>
          <w:szCs w:val="20"/>
          <w:color w:val="auto"/>
        </w:rPr>
      </w:pPr>
    </w:p>
    <w:p>
      <w:pPr>
        <w:ind w:right="160" w:firstLine="490"/>
        <w:spacing w:after="0" w:line="247" w:lineRule="auto"/>
        <w:rPr>
          <w:sz w:val="20"/>
          <w:szCs w:val="20"/>
          <w:color w:val="auto"/>
        </w:rPr>
      </w:pPr>
      <w:r>
        <w:rPr>
          <w:rFonts w:ascii="Arial" w:cs="Arial" w:eastAsia="Arial" w:hAnsi="Arial"/>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 Our financial statements do not include any adjustments that might result from the outcome of this uncertainty.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Listing on the Nasdaq Capital Market</w:t>
      </w:r>
    </w:p>
    <w:p>
      <w:pPr>
        <w:spacing w:after="0" w:line="236" w:lineRule="exact"/>
        <w:rPr>
          <w:sz w:val="20"/>
          <w:szCs w:val="20"/>
          <w:color w:val="auto"/>
        </w:rPr>
      </w:pPr>
    </w:p>
    <w:p>
      <w:pPr>
        <w:ind w:right="600" w:firstLine="490"/>
        <w:spacing w:after="0" w:line="282" w:lineRule="auto"/>
        <w:rPr>
          <w:sz w:val="20"/>
          <w:szCs w:val="20"/>
          <w:color w:val="auto"/>
        </w:rPr>
      </w:pPr>
      <w:r>
        <w:rPr>
          <w:rFonts w:ascii="Arial" w:cs="Arial" w:eastAsia="Arial" w:hAnsi="Arial"/>
          <w:sz w:val="20"/>
          <w:szCs w:val="20"/>
          <w:color w:val="auto"/>
        </w:rPr>
        <w:t>On November 2, 2021, shares of our common stock were approved for trading on the Nasdaq Capital Market under the symbol “CMPX”.</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Private Investment in Public Entity (“PIPE”) Offering</w:t>
      </w:r>
    </w:p>
    <w:p>
      <w:pPr>
        <w:spacing w:after="0" w:line="236"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On November 2, 2023, we entered into a securities purchase agreement ("the "Securities Purchase Agreement") with certain accredited investors (the "Investors") pursuant to which we agreed to sell and issue to the Investors in a PIPE financing an aggregate of 25,000,000 shares of our common stock at a purchase price of $3.21 per share. The 25,000,000 shares were issued on November 4, 2023. The gross proceeds to us from the PIPE are $80.3 million (before deducting placement agent fees and other expenses in connection with the offering).</w:t>
      </w:r>
    </w:p>
    <w:p>
      <w:pPr>
        <w:spacing w:after="0" w:line="194" w:lineRule="exact"/>
        <w:rPr>
          <w:sz w:val="20"/>
          <w:szCs w:val="20"/>
          <w:color w:val="auto"/>
        </w:rPr>
      </w:pPr>
    </w:p>
    <w:p>
      <w:pPr>
        <w:ind w:right="60" w:firstLine="490"/>
        <w:spacing w:after="0" w:line="280" w:lineRule="auto"/>
        <w:rPr>
          <w:sz w:val="20"/>
          <w:szCs w:val="20"/>
          <w:color w:val="auto"/>
        </w:rPr>
      </w:pPr>
      <w:r>
        <w:rPr>
          <w:rFonts w:ascii="Arial" w:cs="Arial" w:eastAsia="Arial" w:hAnsi="Arial"/>
          <w:sz w:val="20"/>
          <w:szCs w:val="20"/>
          <w:color w:val="auto"/>
        </w:rPr>
        <w:t>In connection with the PIPE offering, we paid $4.5 million to the underwriters and for other legal and accounting costs, for net proceeds of $75.8 million.</w:t>
      </w:r>
    </w:p>
    <w:p>
      <w:pPr>
        <w:spacing w:after="0" w:line="162" w:lineRule="exact"/>
        <w:rPr>
          <w:sz w:val="20"/>
          <w:szCs w:val="20"/>
          <w:color w:val="auto"/>
        </w:rPr>
      </w:pPr>
    </w:p>
    <w:p>
      <w:pPr>
        <w:jc w:val="both"/>
        <w:ind w:right="440" w:firstLine="490"/>
        <w:spacing w:after="0" w:line="261" w:lineRule="auto"/>
        <w:rPr>
          <w:sz w:val="20"/>
          <w:szCs w:val="20"/>
          <w:color w:val="auto"/>
        </w:rPr>
      </w:pPr>
      <w:r>
        <w:rPr>
          <w:rFonts w:ascii="Arial" w:cs="Arial" w:eastAsia="Arial" w:hAnsi="Arial"/>
          <w:sz w:val="20"/>
          <w:szCs w:val="20"/>
          <w:color w:val="auto"/>
        </w:rPr>
        <w:t>The PIPE offering was made pursuant to our registration statement on Form S-3 (File No. 333-268652), filed with the SEC on December 2, 2023, and declared effective by the SEC on January 20, 2024, including a prospectus thereto that was filed with the SEC on January 24, 2024.</w:t>
      </w:r>
    </w:p>
    <w:p>
      <w:pPr>
        <w:spacing w:after="0" w:line="181" w:lineRule="exact"/>
        <w:rPr>
          <w:sz w:val="20"/>
          <w:szCs w:val="20"/>
          <w:color w:val="auto"/>
        </w:rPr>
      </w:pPr>
    </w:p>
    <w:p>
      <w:pPr>
        <w:jc w:val="both"/>
        <w:ind w:right="280" w:firstLine="490"/>
        <w:spacing w:after="0" w:line="260" w:lineRule="auto"/>
        <w:rPr>
          <w:sz w:val="20"/>
          <w:szCs w:val="20"/>
          <w:color w:val="auto"/>
        </w:rPr>
      </w:pPr>
      <w:r>
        <w:rPr>
          <w:rFonts w:ascii="Arial" w:cs="Arial" w:eastAsia="Arial" w:hAnsi="Arial"/>
          <w:sz w:val="20"/>
          <w:szCs w:val="20"/>
          <w:color w:val="auto"/>
        </w:rPr>
        <w:t>The PIPE offering was exempt from registration under Section 4(a)(2) of the Securities Act and/or Rule 506 of Regulation D promulgated by the SEC thereunder. The common stock in the PIPE offering was sold to “accredited investors”, as defined in Regulation 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At-The-Market (“ATM”) Offering</w:t>
      </w:r>
    </w:p>
    <w:p>
      <w:pPr>
        <w:spacing w:after="0" w:line="236" w:lineRule="exact"/>
        <w:rPr>
          <w:sz w:val="20"/>
          <w:szCs w:val="20"/>
          <w:color w:val="auto"/>
        </w:rPr>
      </w:pPr>
    </w:p>
    <w:p>
      <w:pPr>
        <w:ind w:right="140" w:firstLine="489"/>
        <w:spacing w:after="0" w:line="235" w:lineRule="auto"/>
        <w:rPr>
          <w:sz w:val="20"/>
          <w:szCs w:val="20"/>
          <w:color w:val="auto"/>
        </w:rPr>
      </w:pPr>
      <w:r>
        <w:rPr>
          <w:rFonts w:ascii="Arial" w:cs="Arial" w:eastAsia="Arial" w:hAnsi="Arial"/>
          <w:sz w:val="20"/>
          <w:szCs w:val="20"/>
          <w:color w:val="auto"/>
        </w:rPr>
        <w:t>In 2025, there were no issuances of common stock through our Open Market Sale Agreement</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with Jefferies LLC (“Jefferies ATM Agreement”) . In December 2025, we entered into a Sales Agreement for our ATM offering with Leerink Partners LLC and Cantor Fitzgerald &amp; Co and the prior Jefferies ATM Agreement was terminated.</w:t>
      </w:r>
    </w:p>
    <w:p>
      <w:pPr>
        <w:spacing w:after="0" w:line="202" w:lineRule="exact"/>
        <w:rPr>
          <w:sz w:val="20"/>
          <w:szCs w:val="20"/>
          <w:color w:val="auto"/>
        </w:rPr>
      </w:pPr>
    </w:p>
    <w:p>
      <w:pPr>
        <w:ind w:right="140" w:firstLine="545"/>
        <w:spacing w:after="0" w:line="261" w:lineRule="auto"/>
        <w:rPr>
          <w:sz w:val="20"/>
          <w:szCs w:val="20"/>
          <w:color w:val="auto"/>
        </w:rPr>
      </w:pPr>
      <w:r>
        <w:rPr>
          <w:rFonts w:ascii="Arial" w:cs="Arial" w:eastAsia="Arial" w:hAnsi="Arial"/>
          <w:sz w:val="20"/>
          <w:szCs w:val="20"/>
          <w:color w:val="auto"/>
        </w:rPr>
        <w:t>In the first quarter of 2024, we sold, through our Jefferies ATM Agreement, 9,790,577 shares of common stock at an average price of $1.85 for total proceeds of $18.1 million and net proceeds of $17.6 million.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Underwritten Offering</w:t>
      </w:r>
    </w:p>
    <w:p>
      <w:pPr>
        <w:spacing w:after="0" w:line="236" w:lineRule="exact"/>
        <w:rPr>
          <w:sz w:val="20"/>
          <w:szCs w:val="20"/>
          <w:color w:val="auto"/>
        </w:rPr>
      </w:pPr>
    </w:p>
    <w:p>
      <w:pPr>
        <w:ind w:right="20" w:firstLine="490"/>
        <w:spacing w:after="0" w:line="259" w:lineRule="auto"/>
        <w:rPr>
          <w:sz w:val="20"/>
          <w:szCs w:val="20"/>
          <w:color w:val="auto"/>
        </w:rPr>
      </w:pPr>
      <w:r>
        <w:rPr>
          <w:rFonts w:ascii="Arial" w:cs="Arial" w:eastAsia="Arial" w:hAnsi="Arial"/>
          <w:sz w:val="19"/>
          <w:szCs w:val="19"/>
          <w:color w:val="auto"/>
        </w:rPr>
        <w:t>On August 12, 2025, we entered into an underwriting agreement (the “Underwriting Agreement”) with Jefferies LLC, Piper Sandler &amp; Co., and Guggenheim Securities, LLC, as representatives (the “Representatives”) of the underwriters named therein (the “Underwriters”), pursuant to which the Company agreed to issue and sell an aggregate of (a) 33,290,000 shares (the “Firm Shares”) of its common stock, par value $0.0001 per share (the “Common Stock”), at a price to the public of $3.00 per share, and (b) pre-funded warrants to purchase up to 6,710,000 shares of the Company’s Common Stock (the “Pre-Funded Warrants”), at a price to the public of $2.9999 per warrant with an exercise price of $0.0001 per share (the “Offering”). Pursuant to the Underwriting Agreement, the Company granted the underwriters a 30-day option, which the underwriters exercised, to purchase up to an additional 6,000,000</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93</w:t>
      </w:r>
    </w:p>
    <w:p>
      <w:pPr>
        <w:sectPr>
          <w:pgSz w:w="12240" w:h="15840" w:orient="portrait"/>
          <w:cols w:equalWidth="0" w:num="1">
            <w:col w:w="9360"/>
          </w:cols>
          <w:pgMar w:left="1440" w:top="988" w:right="1440" w:bottom="161" w:gutter="0" w:footer="0" w:header="0"/>
        </w:sectPr>
      </w:pPr>
    </w:p>
    <w:bookmarkStart w:id="95" w:name="page96"/>
    <w:bookmarkEnd w:id="95"/>
    <w:p>
      <w:pPr>
        <w:ind w:right="40"/>
        <w:spacing w:after="0" w:line="253" w:lineRule="auto"/>
        <w:rPr>
          <w:sz w:val="20"/>
          <w:szCs w:val="20"/>
          <w:color w:val="auto"/>
        </w:rPr>
      </w:pPr>
      <w:r>
        <w:rPr>
          <w:rFonts w:ascii="Arial" w:cs="Arial" w:eastAsia="Arial" w:hAnsi="Arial"/>
          <w:sz w:val="20"/>
          <w:szCs w:val="20"/>
          <w:color w:val="auto"/>
        </w:rPr>
        <w:t>shares of its Common Stock (the “Optional Shares”, and together with the Firm Shares, the “Shares”) at the public offering price, less underwriting discounts and commissions. The Company received aggregate net proceeds of $129.3 million, after deducting underwriting discounts and commissions of $8.3 million and other offering costs of $0.4 million.</w:t>
      </w:r>
    </w:p>
    <w:p>
      <w:pPr>
        <w:spacing w:after="0" w:line="190" w:lineRule="exact"/>
        <w:rPr>
          <w:sz w:val="20"/>
          <w:szCs w:val="20"/>
          <w:color w:val="auto"/>
        </w:rPr>
      </w:pPr>
    </w:p>
    <w:p>
      <w:pPr>
        <w:ind w:right="120" w:firstLine="490"/>
        <w:spacing w:after="0" w:line="254" w:lineRule="auto"/>
        <w:rPr>
          <w:sz w:val="20"/>
          <w:szCs w:val="20"/>
          <w:color w:val="auto"/>
        </w:rPr>
      </w:pPr>
      <w:r>
        <w:rPr>
          <w:rFonts w:ascii="Arial" w:cs="Arial" w:eastAsia="Arial" w:hAnsi="Arial"/>
          <w:sz w:val="20"/>
          <w:szCs w:val="20"/>
          <w:color w:val="auto"/>
        </w:rPr>
        <w:t>The 2025 Pre-Funded Warrants were determined to be equity classified. Accordingly, proceeds from the offering were allocated to common stock, the 2025 Pre-Funded Warrants on a relative fair value basis and were recorded in stockholders’ equity. As of December 31, 2025, all of the 2025 Pre-Funded Warrants remain outstanding.</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Inflation Reduction Act of 2022</w:t>
      </w:r>
    </w:p>
    <w:p>
      <w:pPr>
        <w:spacing w:after="0" w:line="236" w:lineRule="exact"/>
        <w:rPr>
          <w:sz w:val="20"/>
          <w:szCs w:val="20"/>
          <w:color w:val="auto"/>
        </w:rPr>
      </w:pPr>
    </w:p>
    <w:p>
      <w:pPr>
        <w:ind w:right="60" w:firstLine="489"/>
        <w:spacing w:after="0" w:line="254" w:lineRule="auto"/>
        <w:rPr>
          <w:sz w:val="20"/>
          <w:szCs w:val="20"/>
          <w:color w:val="auto"/>
        </w:rPr>
      </w:pPr>
      <w:r>
        <w:rPr>
          <w:rFonts w:ascii="Arial" w:cs="Arial" w:eastAsia="Arial" w:hAnsi="Arial"/>
          <w:sz w:val="20"/>
          <w:szCs w:val="20"/>
          <w:color w:val="auto"/>
        </w:rPr>
        <w:t>The Inflation Reduction Act of 2022 (“IRA”) was enacted on August 16, 2022. The IRA includes provisions imposing a 1% excise tax on share repurchases that occur after December 31, 2022 and introduces a 15% corporate alternative minimum tax on adjusted financial statement income. To date, the IRA has not had a material impact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36" w:lineRule="exact"/>
        <w:rPr>
          <w:sz w:val="20"/>
          <w:szCs w:val="20"/>
          <w:color w:val="auto"/>
        </w:rPr>
      </w:pPr>
    </w:p>
    <w:p>
      <w:pPr>
        <w:ind w:right="140" w:firstLine="490"/>
        <w:spacing w:after="0" w:line="254" w:lineRule="auto"/>
        <w:rPr>
          <w:sz w:val="20"/>
          <w:szCs w:val="20"/>
          <w:color w:val="auto"/>
        </w:rPr>
      </w:pPr>
      <w:r>
        <w:rPr>
          <w:rFonts w:ascii="Arial" w:cs="Arial" w:eastAsia="Arial" w:hAnsi="Arial"/>
          <w:sz w:val="20"/>
          <w:szCs w:val="20"/>
          <w:color w:val="auto"/>
        </w:rPr>
        <w:t>Research and development expenses consist primarily of costs incurred in connection with the development of our clinical product candidates, tovecimig, CTX-471, CTX-8371 and CTX-10726, as well as unrelated preclinical and discovery program expenses. We expense research and development costs as incurred. These expenses include:</w:t>
      </w:r>
    </w:p>
    <w:p>
      <w:pPr>
        <w:spacing w:after="0" w:line="200" w:lineRule="exact"/>
        <w:rPr>
          <w:sz w:val="20"/>
          <w:szCs w:val="20"/>
          <w:color w:val="auto"/>
        </w:rPr>
      </w:pPr>
    </w:p>
    <w:p>
      <w:pPr>
        <w:ind w:left="980" w:hanging="490"/>
        <w:spacing w:after="0"/>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development milestone payments due in connection with our product candidates;</w:t>
      </w:r>
    </w:p>
    <w:p>
      <w:pPr>
        <w:spacing w:after="0" w:line="252" w:lineRule="exact"/>
        <w:rPr>
          <w:rFonts w:ascii="Arial" w:cs="Arial" w:eastAsia="Arial" w:hAnsi="Arial"/>
          <w:sz w:val="20"/>
          <w:szCs w:val="20"/>
          <w:color w:val="auto"/>
        </w:rPr>
      </w:pPr>
    </w:p>
    <w:p>
      <w:pPr>
        <w:ind w:left="980" w:right="580" w:hanging="490"/>
        <w:spacing w:after="0" w:line="310" w:lineRule="auto"/>
        <w:tabs>
          <w:tab w:leader="none" w:pos="9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employee-related expenses, including salaries, related benefits and equity-based compensation expense, for employees engaged in research and development functions;</w:t>
      </w:r>
    </w:p>
    <w:p>
      <w:pPr>
        <w:spacing w:after="0" w:line="148" w:lineRule="exact"/>
        <w:rPr>
          <w:rFonts w:ascii="Arial" w:cs="Arial" w:eastAsia="Arial" w:hAnsi="Arial"/>
          <w:sz w:val="19"/>
          <w:szCs w:val="19"/>
          <w:color w:val="auto"/>
        </w:rPr>
      </w:pPr>
    </w:p>
    <w:p>
      <w:pPr>
        <w:ind w:left="980" w:right="240" w:hanging="490"/>
        <w:spacing w:after="0" w:line="285"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Contract Research Organizations (“CROs”) that are primarily engaged to support the clinical development of our product candidates;</w:t>
      </w:r>
    </w:p>
    <w:p>
      <w:pPr>
        <w:spacing w:after="0" w:line="169" w:lineRule="exact"/>
        <w:rPr>
          <w:rFonts w:ascii="Arial" w:cs="Arial" w:eastAsia="Arial" w:hAnsi="Arial"/>
          <w:sz w:val="20"/>
          <w:szCs w:val="20"/>
          <w:color w:val="auto"/>
        </w:rPr>
      </w:pPr>
    </w:p>
    <w:p>
      <w:pPr>
        <w:ind w:left="980" w:right="140" w:hanging="490"/>
        <w:spacing w:after="0" w:line="254"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Contract Development Manufacturing Organizations (“CDMOs”) that are primarily engaged to provide drug substance and drug product for our clinical trials, research and development programs, as well as investigative sites and consultants that conduct our clinical trials, nonclinical studies and other scientific development services;</w:t>
      </w:r>
    </w:p>
    <w:p>
      <w:pPr>
        <w:spacing w:after="0" w:line="200" w:lineRule="exact"/>
        <w:rPr>
          <w:rFonts w:ascii="Arial" w:cs="Arial" w:eastAsia="Arial" w:hAnsi="Arial"/>
          <w:sz w:val="20"/>
          <w:szCs w:val="20"/>
          <w:color w:val="auto"/>
        </w:rPr>
      </w:pPr>
    </w:p>
    <w:p>
      <w:pPr>
        <w:ind w:left="980" w:right="1040" w:hanging="490"/>
        <w:spacing w:after="0" w:line="282"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cost of acquiring and manufacturing nonclinical and clinical trial materials, including manufacturing registration and validation batches;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costs related to compliance with quality and regulatory requirements; and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payments made under third-party licensing agreements.</w:t>
      </w:r>
    </w:p>
    <w:p>
      <w:pPr>
        <w:spacing w:after="0" w:line="243" w:lineRule="exact"/>
        <w:rPr>
          <w:sz w:val="20"/>
          <w:szCs w:val="20"/>
          <w:color w:val="auto"/>
        </w:rPr>
      </w:pPr>
    </w:p>
    <w:p>
      <w:pPr>
        <w:ind w:right="40" w:firstLine="490"/>
        <w:spacing w:after="0" w:line="253" w:lineRule="auto"/>
        <w:rPr>
          <w:sz w:val="20"/>
          <w:szCs w:val="20"/>
          <w:color w:val="auto"/>
        </w:rPr>
      </w:pPr>
      <w:r>
        <w:rPr>
          <w:rFonts w:ascii="Arial" w:cs="Arial" w:eastAsia="Arial" w:hAnsi="Arial"/>
          <w:sz w:val="20"/>
          <w:szCs w:val="20"/>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90" w:lineRule="exact"/>
        <w:rPr>
          <w:sz w:val="20"/>
          <w:szCs w:val="20"/>
          <w:color w:val="auto"/>
        </w:rPr>
      </w:pPr>
    </w:p>
    <w:p>
      <w:pPr>
        <w:ind w:right="100" w:firstLine="490"/>
        <w:spacing w:after="0" w:line="248" w:lineRule="auto"/>
        <w:rPr>
          <w:sz w:val="20"/>
          <w:szCs w:val="20"/>
          <w:color w:val="auto"/>
        </w:rPr>
      </w:pPr>
      <w:r>
        <w:rPr>
          <w:rFonts w:ascii="Arial" w:cs="Arial" w:eastAsia="Arial" w:hAnsi="Arial"/>
          <w:sz w:val="20"/>
          <w:szCs w:val="20"/>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future. At this time, we cannot accurately estimate or know the nature, timing and costs of the efforts that will be necessary to complete the clinical development of any future product candidates.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9360"/>
          </w:cols>
          <w:pgMar w:left="1440" w:top="988" w:right="1440" w:bottom="161" w:gutter="0" w:footer="0" w:header="0"/>
        </w:sectPr>
      </w:pPr>
    </w:p>
    <w:bookmarkStart w:id="96" w:name="page97"/>
    <w:bookmarkEnd w:id="96"/>
    <w:p>
      <w:pPr>
        <w:ind w:left="480"/>
        <w:spacing w:after="0"/>
        <w:rPr>
          <w:sz w:val="20"/>
          <w:szCs w:val="20"/>
          <w:color w:val="auto"/>
        </w:rPr>
      </w:pPr>
      <w:r>
        <w:rPr>
          <w:rFonts w:ascii="Arial" w:cs="Arial" w:eastAsia="Arial" w:hAnsi="Arial"/>
          <w:sz w:val="20"/>
          <w:szCs w:val="20"/>
          <w:color w:val="auto"/>
        </w:rPr>
        <w:t>Our clinical development costs may vary significantly based on factors such as:</w:t>
      </w:r>
    </w:p>
    <w:p>
      <w:pPr>
        <w:spacing w:after="0" w:line="252" w:lineRule="exact"/>
        <w:rPr>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per patient trial costs;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number of trials required for approval;</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number of sites included in the trials;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location where the trials are conducted;</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length of time required to enroll eligible patients;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number of patients that participate in the trials;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number of doses that patients receive;</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drop-out or discontinuation rates of patients;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potential additional safety monitoring requested by regulatory agencies;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duration of patient participation in the trials and follow-up;</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cost and timing of manufacturing our product candidates;</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phase of development of our product candidates; and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efficacy and safety profile of our product candidates.</w:t>
      </w:r>
    </w:p>
    <w:p>
      <w:pPr>
        <w:spacing w:after="0" w:line="240" w:lineRule="exact"/>
        <w:rPr>
          <w:sz w:val="20"/>
          <w:szCs w:val="20"/>
          <w:color w:val="auto"/>
        </w:rPr>
      </w:pPr>
    </w:p>
    <w:p>
      <w:pPr>
        <w:ind w:right="180" w:firstLine="490"/>
        <w:spacing w:after="0" w:line="261" w:lineRule="auto"/>
        <w:rPr>
          <w:sz w:val="20"/>
          <w:szCs w:val="20"/>
          <w:color w:val="auto"/>
        </w:rPr>
      </w:pPr>
      <w:r>
        <w:rPr>
          <w:rFonts w:ascii="Arial" w:cs="Arial" w:eastAsia="Arial" w:hAnsi="Arial"/>
          <w:sz w:val="20"/>
          <w:szCs w:val="20"/>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193" w:lineRule="exact"/>
        <w:rPr>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timing and progress of nonclinical and clinical development activities;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number and scope of nonclinical and clinical programs we decide to pursue;</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raising necessary additional funds;</w:t>
      </w:r>
    </w:p>
    <w:p>
      <w:pPr>
        <w:spacing w:after="0" w:line="252" w:lineRule="exact"/>
        <w:rPr>
          <w:rFonts w:ascii="Arial" w:cs="Arial" w:eastAsia="Arial" w:hAnsi="Arial"/>
          <w:sz w:val="20"/>
          <w:szCs w:val="20"/>
          <w:color w:val="auto"/>
        </w:rPr>
      </w:pPr>
    </w:p>
    <w:p>
      <w:pPr>
        <w:ind w:left="980" w:right="200" w:hanging="490"/>
        <w:spacing w:after="0" w:line="285"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progress of the development efforts of parties with whom we may enter into collaboration arrangements;</w:t>
      </w:r>
    </w:p>
    <w:p>
      <w:pPr>
        <w:spacing w:after="0" w:line="169"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our ability to maintain our current development program and to establish new ones;</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our ability to establish new licensing or collaboration arrangements;</w:t>
      </w:r>
    </w:p>
    <w:p>
      <w:pPr>
        <w:spacing w:after="0" w:line="252" w:lineRule="exact"/>
        <w:rPr>
          <w:rFonts w:ascii="Arial" w:cs="Arial" w:eastAsia="Arial" w:hAnsi="Arial"/>
          <w:sz w:val="20"/>
          <w:szCs w:val="20"/>
          <w:color w:val="auto"/>
        </w:rPr>
      </w:pPr>
    </w:p>
    <w:p>
      <w:pPr>
        <w:ind w:left="980" w:right="420" w:hanging="490"/>
        <w:spacing w:after="0" w:line="285"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successful initiation and completion of clinical trials with safety, tolerability and efficacy profiles that are satisfactory to the FDA or any comparable foreign regulatory authority;</w:t>
      </w:r>
    </w:p>
    <w:p>
      <w:pPr>
        <w:spacing w:after="0" w:line="169" w:lineRule="exact"/>
        <w:rPr>
          <w:rFonts w:ascii="Arial" w:cs="Arial" w:eastAsia="Arial" w:hAnsi="Arial"/>
          <w:sz w:val="20"/>
          <w:szCs w:val="20"/>
          <w:color w:val="auto"/>
        </w:rPr>
      </w:pPr>
    </w:p>
    <w:p>
      <w:pPr>
        <w:ind w:left="980" w:hanging="490"/>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receipt and related terms of regulatory approvals from applicable regulatory authorities;</w:t>
      </w:r>
    </w:p>
    <w:p>
      <w:pPr>
        <w:spacing w:after="0" w:line="252" w:lineRule="exact"/>
        <w:rPr>
          <w:rFonts w:ascii="Arial" w:cs="Arial" w:eastAsia="Arial" w:hAnsi="Arial"/>
          <w:sz w:val="20"/>
          <w:szCs w:val="20"/>
          <w:color w:val="auto"/>
        </w:rPr>
      </w:pPr>
    </w:p>
    <w:p>
      <w:pPr>
        <w:ind w:left="980" w:right="760" w:hanging="490"/>
        <w:spacing w:after="0" w:line="282"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availability of drug substance and drug product for use in production of our product candidate;</w:t>
      </w:r>
    </w:p>
    <w:p>
      <w:pPr>
        <w:spacing w:after="0" w:line="172" w:lineRule="exact"/>
        <w:rPr>
          <w:rFonts w:ascii="Arial" w:cs="Arial" w:eastAsia="Arial" w:hAnsi="Arial"/>
          <w:sz w:val="20"/>
          <w:szCs w:val="20"/>
          <w:color w:val="auto"/>
        </w:rPr>
      </w:pPr>
    </w:p>
    <w:p>
      <w:pPr>
        <w:ind w:left="980" w:right="180" w:hanging="490"/>
        <w:spacing w:after="0" w:line="285" w:lineRule="auto"/>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establishing and maintaining agreements with third-party manufacturers for clinical supply for our clinical trials and commercial manufacturing, if our product candidates are approved;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2240" w:h="15840" w:orient="portrait"/>
          <w:cols w:equalWidth="0" w:num="1">
            <w:col w:w="9360"/>
          </w:cols>
          <w:pgMar w:left="1440" w:top="988" w:right="1440" w:bottom="161" w:gutter="0" w:footer="0" w:header="0"/>
        </w:sectPr>
      </w:pPr>
    </w:p>
    <w:bookmarkStart w:id="97" w:name="page98"/>
    <w:bookmarkEnd w:id="97"/>
    <w:p>
      <w:pPr>
        <w:ind w:left="980" w:right="340" w:hanging="490"/>
        <w:spacing w:after="0" w:line="282"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obtain and maintain patents, trade secret protection and regulatory exclusivity, both in the United States and internationally;</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ability to protect our rights in our intellectual property portfolio;</w:t>
      </w:r>
    </w:p>
    <w:p>
      <w:pPr>
        <w:spacing w:after="0" w:line="254"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commercialization of our product candidate, if and when approved;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obtaining and maintaining third-party insurance coverage and adequate reimbursement;</w:t>
      </w:r>
    </w:p>
    <w:p>
      <w:pPr>
        <w:spacing w:after="0" w:line="254" w:lineRule="exact"/>
        <w:rPr>
          <w:rFonts w:ascii="Arial" w:cs="Arial" w:eastAsia="Arial" w:hAnsi="Arial"/>
          <w:sz w:val="20"/>
          <w:szCs w:val="20"/>
          <w:color w:val="auto"/>
        </w:rPr>
      </w:pPr>
    </w:p>
    <w:p>
      <w:pPr>
        <w:ind w:left="980" w:right="80" w:hanging="490"/>
        <w:spacing w:after="0" w:line="282"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acceptance of our product candidate, if approved, by patients, the medical community and third-party payors;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competition with other products; and</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continued acceptable safety profile of our therapies following approval.</w:t>
      </w:r>
    </w:p>
    <w:p>
      <w:pPr>
        <w:spacing w:after="0" w:line="243" w:lineRule="exact"/>
        <w:rPr>
          <w:sz w:val="20"/>
          <w:szCs w:val="20"/>
          <w:color w:val="auto"/>
        </w:rPr>
      </w:pPr>
    </w:p>
    <w:p>
      <w:pPr>
        <w:ind w:right="260" w:firstLine="490"/>
        <w:spacing w:after="0" w:line="253" w:lineRule="auto"/>
        <w:rPr>
          <w:sz w:val="20"/>
          <w:szCs w:val="20"/>
          <w:color w:val="auto"/>
        </w:rPr>
      </w:pPr>
      <w:r>
        <w:rPr>
          <w:rFonts w:ascii="Arial" w:cs="Arial" w:eastAsia="Arial" w:hAnsi="Arial"/>
          <w:sz w:val="20"/>
          <w:szCs w:val="20"/>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236" w:lineRule="exact"/>
        <w:rPr>
          <w:sz w:val="20"/>
          <w:szCs w:val="20"/>
          <w:color w:val="auto"/>
        </w:rPr>
      </w:pPr>
    </w:p>
    <w:p>
      <w:pPr>
        <w:ind w:right="20" w:firstLine="490"/>
        <w:spacing w:after="0" w:line="250" w:lineRule="auto"/>
        <w:rPr>
          <w:sz w:val="20"/>
          <w:szCs w:val="20"/>
          <w:color w:val="auto"/>
        </w:rPr>
      </w:pPr>
      <w:r>
        <w:rPr>
          <w:rFonts w:ascii="Arial" w:cs="Arial" w:eastAsia="Arial" w:hAnsi="Arial"/>
          <w:sz w:val="20"/>
          <w:szCs w:val="20"/>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92" w:lineRule="exact"/>
        <w:rPr>
          <w:sz w:val="20"/>
          <w:szCs w:val="20"/>
          <w:color w:val="auto"/>
        </w:rPr>
      </w:pPr>
    </w:p>
    <w:p>
      <w:pPr>
        <w:ind w:right="400" w:firstLine="490"/>
        <w:spacing w:after="0" w:line="253" w:lineRule="auto"/>
        <w:rPr>
          <w:sz w:val="20"/>
          <w:szCs w:val="20"/>
          <w:color w:val="auto"/>
        </w:rPr>
      </w:pPr>
      <w:r>
        <w:rPr>
          <w:rFonts w:ascii="Arial" w:cs="Arial" w:eastAsia="Arial" w:hAnsi="Arial"/>
          <w:sz w:val="20"/>
          <w:szCs w:val="20"/>
          <w:color w:val="auto"/>
        </w:rPr>
        <w:t>We anticipate that our general and administrative expenses will increase in the future as we increase our headcount to support our business operations. We also anticipate that we will incur increased accounting, audit, legal, regulatory, compliance and director and officer insurance costs, as well as investor and public relations expenses associated with being a public company.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Other income</w:t>
      </w:r>
    </w:p>
    <w:p>
      <w:pPr>
        <w:spacing w:after="0" w:line="236" w:lineRule="exact"/>
        <w:rPr>
          <w:sz w:val="20"/>
          <w:szCs w:val="20"/>
          <w:color w:val="auto"/>
        </w:rPr>
      </w:pPr>
    </w:p>
    <w:p>
      <w:pPr>
        <w:ind w:right="80" w:firstLine="490"/>
        <w:spacing w:after="0" w:line="282" w:lineRule="auto"/>
        <w:rPr>
          <w:sz w:val="20"/>
          <w:szCs w:val="20"/>
          <w:color w:val="auto"/>
        </w:rPr>
      </w:pPr>
      <w:r>
        <w:rPr>
          <w:rFonts w:ascii="Arial" w:cs="Arial" w:eastAsia="Arial" w:hAnsi="Arial"/>
          <w:sz w:val="20"/>
          <w:szCs w:val="20"/>
          <w:color w:val="auto"/>
        </w:rPr>
        <w:t>In 2025 and 2024, the only component of other income was interest income from cash deposits and marketable securities.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Income taxes</w:t>
      </w:r>
    </w:p>
    <w:p>
      <w:pPr>
        <w:spacing w:after="0" w:line="234" w:lineRule="exact"/>
        <w:rPr>
          <w:sz w:val="20"/>
          <w:szCs w:val="20"/>
          <w:color w:val="auto"/>
        </w:rPr>
      </w:pPr>
    </w:p>
    <w:p>
      <w:pPr>
        <w:ind w:right="40" w:firstLine="490"/>
        <w:spacing w:after="0" w:line="242" w:lineRule="auto"/>
        <w:rPr>
          <w:sz w:val="20"/>
          <w:szCs w:val="20"/>
          <w:color w:val="auto"/>
        </w:rPr>
      </w:pPr>
      <w:r>
        <w:rPr>
          <w:rFonts w:ascii="Arial" w:cs="Arial" w:eastAsia="Arial" w:hAnsi="Arial"/>
          <w:sz w:val="20"/>
          <w:szCs w:val="20"/>
          <w:color w:val="auto"/>
        </w:rPr>
        <w:t>We are organized as a Delaware corporation and treated as a c-corporation for federal and state income taxes. Our wholly- owned subsidiaries are included in the consolidated corporate tax return. Prior to the Merger in 2020, we were established as a Delaware limited liability company, and the business that was acquired in the Merger was treated as a partnership for income tax reporting purposes; therefore, federal and state income taxes were the responsibility of its individual members. As such, no federal or state income taxes related to the limited liability company were recorded in our consolidated financial statements. All such taxes have been recorded in our financial statements. As of December 31, 2025 we recorded a deferred tax asset of $79.4 million primarily related to a net operating loss carryforward, section 174 capitalization, research and development tax credit carryforward, and capitalized licensing fees. The asset has a corresponding fully deferred tax valuation allowance. Pursuant to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See Note 14 to our consolidated financial statements appearing in this Form 10-K.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2240" w:h="15840" w:orient="portrait"/>
          <w:cols w:equalWidth="0" w:num="1">
            <w:col w:w="9360"/>
          </w:cols>
          <w:pgMar w:left="1440" w:top="1000" w:right="1440" w:bottom="161"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Results of Operations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Comparison of the Years Ended December 31, 2025 and 2024</w:t>
      </w:r>
    </w:p>
    <w:p>
      <w:pPr>
        <w:spacing w:after="0" w:line="234" w:lineRule="exact"/>
        <w:rPr>
          <w:sz w:val="20"/>
          <w:szCs w:val="20"/>
          <w:color w:val="auto"/>
        </w:rPr>
      </w:pPr>
    </w:p>
    <w:p>
      <w:pPr>
        <w:ind w:right="300" w:firstLine="490"/>
        <w:spacing w:after="0" w:line="282" w:lineRule="auto"/>
        <w:rPr>
          <w:sz w:val="20"/>
          <w:szCs w:val="20"/>
          <w:color w:val="auto"/>
        </w:rPr>
      </w:pPr>
      <w:r>
        <w:rPr>
          <w:rFonts w:ascii="Arial" w:cs="Arial" w:eastAsia="Arial" w:hAnsi="Arial"/>
          <w:sz w:val="20"/>
          <w:szCs w:val="20"/>
          <w:color w:val="auto"/>
        </w:rPr>
        <w:t>The following table summarizes the results of operations for the years ended December 31, 2025 and 2024:</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ind w:left="114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auto"/>
            </w:tcBorders>
          </w:tcPr>
          <w:p>
            <w:pPr>
              <w:spacing w:after="0"/>
              <w:rPr>
                <w:sz w:val="19"/>
                <w:szCs w:val="19"/>
                <w:color w:val="auto"/>
              </w:rPr>
            </w:pPr>
          </w:p>
        </w:tc>
      </w:tr>
      <w:tr>
        <w:trPr>
          <w:trHeight w:val="212"/>
        </w:trPr>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center"/>
              <w:ind w:right="286"/>
              <w:spacing w:after="0"/>
              <w:rPr>
                <w:sz w:val="20"/>
                <w:szCs w:val="20"/>
                <w:color w:val="auto"/>
              </w:rPr>
            </w:pPr>
            <w:r>
              <w:rPr>
                <w:rFonts w:ascii="Arial" w:cs="Arial" w:eastAsia="Arial" w:hAnsi="Arial"/>
                <w:sz w:val="16"/>
                <w:szCs w:val="16"/>
                <w:b w:val="1"/>
                <w:bCs w:val="1"/>
                <w:color w:val="auto"/>
              </w:rPr>
              <w:t>(000's)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4"/>
        </w:trPr>
        <w:tc>
          <w:tcPr>
            <w:tcW w:w="3160" w:type="dxa"/>
            <w:vAlign w:val="bottom"/>
            <w:gridSpan w:val="2"/>
          </w:tcPr>
          <w:p>
            <w:pPr>
              <w:ind w:left="40"/>
              <w:spacing w:after="0"/>
              <w:rPr>
                <w:sz w:val="20"/>
                <w:szCs w:val="20"/>
                <w:color w:val="auto"/>
              </w:rPr>
            </w:pPr>
            <w:r>
              <w:rPr>
                <w:rFonts w:ascii="Arial" w:cs="Arial" w:eastAsia="Arial" w:hAnsi="Arial"/>
                <w:sz w:val="19"/>
                <w:szCs w:val="19"/>
                <w:color w:val="auto"/>
              </w:rPr>
              <w:t>Licensing revenue</w:t>
            </w:r>
          </w:p>
        </w:tc>
        <w:tc>
          <w:tcPr>
            <w:tcW w:w="42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22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54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6"/>
              <w:spacing w:after="0"/>
              <w:rPr>
                <w:sz w:val="20"/>
                <w:szCs w:val="20"/>
                <w:color w:val="auto"/>
              </w:rPr>
            </w:pPr>
            <w:r>
              <w:rPr>
                <w:rFonts w:ascii="Arial" w:cs="Arial" w:eastAsia="Arial" w:hAnsi="Arial"/>
                <w:sz w:val="19"/>
                <w:szCs w:val="19"/>
                <w:color w:val="auto"/>
              </w:rPr>
              <w:t>850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(850)</w:t>
            </w:r>
          </w:p>
        </w:tc>
        <w:tc>
          <w:tcPr>
            <w:tcW w:w="20" w:type="dxa"/>
            <w:vAlign w:val="bottom"/>
          </w:tcPr>
          <w:p>
            <w:pPr>
              <w:spacing w:after="0"/>
              <w:rPr>
                <w:sz w:val="23"/>
                <w:szCs w:val="23"/>
                <w:color w:val="auto"/>
              </w:rPr>
            </w:pPr>
          </w:p>
        </w:tc>
      </w:tr>
      <w:tr>
        <w:trPr>
          <w:trHeight w:val="268"/>
        </w:trPr>
        <w:tc>
          <w:tcPr>
            <w:tcW w:w="3160" w:type="dxa"/>
            <w:vAlign w:val="bottom"/>
            <w:gridSpan w:val="2"/>
            <w:shd w:val="clear" w:color="auto" w:fill="D4EFF3"/>
          </w:tcPr>
          <w:p>
            <w:pPr>
              <w:ind w:left="40"/>
              <w:spacing w:after="0"/>
              <w:rPr>
                <w:sz w:val="20"/>
                <w:szCs w:val="20"/>
                <w:color w:val="auto"/>
              </w:rPr>
            </w:pPr>
            <w:r>
              <w:rPr>
                <w:rFonts w:ascii="Arial" w:cs="Arial" w:eastAsia="Arial" w:hAnsi="Arial"/>
                <w:sz w:val="19"/>
                <w:szCs w:val="19"/>
                <w:color w:val="auto"/>
              </w:rPr>
              <w:t>Operating expenses:</w:t>
            </w:r>
          </w:p>
        </w:tc>
        <w:tc>
          <w:tcPr>
            <w:tcW w:w="420" w:type="dxa"/>
            <w:vAlign w:val="bottom"/>
            <w:shd w:val="clear" w:color="auto" w:fill="D4EFF3"/>
          </w:tcPr>
          <w:p>
            <w:pPr>
              <w:spacing w:after="0"/>
              <w:rPr>
                <w:sz w:val="23"/>
                <w:szCs w:val="23"/>
                <w:color w:val="auto"/>
              </w:rPr>
            </w:pPr>
          </w:p>
        </w:tc>
        <w:tc>
          <w:tcPr>
            <w:tcW w:w="1220" w:type="dxa"/>
            <w:vAlign w:val="bottom"/>
            <w:shd w:val="clear" w:color="auto" w:fill="D4EFF3"/>
          </w:tcPr>
          <w:p>
            <w:pPr>
              <w:spacing w:after="0"/>
              <w:rPr>
                <w:sz w:val="23"/>
                <w:szCs w:val="23"/>
                <w:color w:val="auto"/>
              </w:rPr>
            </w:pPr>
          </w:p>
        </w:tc>
        <w:tc>
          <w:tcPr>
            <w:tcW w:w="140" w:type="dxa"/>
            <w:vAlign w:val="bottom"/>
            <w:shd w:val="clear" w:color="auto" w:fill="D4EFF3"/>
          </w:tcPr>
          <w:p>
            <w:pPr>
              <w:spacing w:after="0"/>
              <w:rPr>
                <w:sz w:val="23"/>
                <w:szCs w:val="23"/>
                <w:color w:val="auto"/>
              </w:rPr>
            </w:pPr>
          </w:p>
        </w:tc>
        <w:tc>
          <w:tcPr>
            <w:tcW w:w="400" w:type="dxa"/>
            <w:vAlign w:val="bottom"/>
            <w:shd w:val="clear" w:color="auto" w:fill="D4EFF3"/>
          </w:tcPr>
          <w:p>
            <w:pPr>
              <w:spacing w:after="0"/>
              <w:rPr>
                <w:sz w:val="23"/>
                <w:szCs w:val="23"/>
                <w:color w:val="auto"/>
              </w:rPr>
            </w:pPr>
          </w:p>
        </w:tc>
        <w:tc>
          <w:tcPr>
            <w:tcW w:w="1240" w:type="dxa"/>
            <w:vAlign w:val="bottom"/>
            <w:shd w:val="clear" w:color="auto" w:fill="D4EFF3"/>
          </w:tcPr>
          <w:p>
            <w:pPr>
              <w:spacing w:after="0"/>
              <w:rPr>
                <w:sz w:val="23"/>
                <w:szCs w:val="23"/>
                <w:color w:val="auto"/>
              </w:rPr>
            </w:pPr>
          </w:p>
        </w:tc>
        <w:tc>
          <w:tcPr>
            <w:tcW w:w="160" w:type="dxa"/>
            <w:vAlign w:val="bottom"/>
            <w:shd w:val="clear" w:color="auto" w:fill="D4EFF3"/>
          </w:tcPr>
          <w:p>
            <w:pPr>
              <w:spacing w:after="0"/>
              <w:rPr>
                <w:sz w:val="23"/>
                <w:szCs w:val="23"/>
                <w:color w:val="auto"/>
              </w:rPr>
            </w:pPr>
          </w:p>
        </w:tc>
        <w:tc>
          <w:tcPr>
            <w:tcW w:w="80" w:type="dxa"/>
            <w:vAlign w:val="bottom"/>
            <w:shd w:val="clear" w:color="auto" w:fill="D4EFF3"/>
          </w:tcPr>
          <w:p>
            <w:pPr>
              <w:spacing w:after="0"/>
              <w:rPr>
                <w:sz w:val="23"/>
                <w:szCs w:val="23"/>
                <w:color w:val="auto"/>
              </w:rPr>
            </w:pPr>
          </w:p>
        </w:tc>
        <w:tc>
          <w:tcPr>
            <w:tcW w:w="300" w:type="dxa"/>
            <w:vAlign w:val="bottom"/>
            <w:shd w:val="clear" w:color="auto" w:fill="D4EFF3"/>
          </w:tcPr>
          <w:p>
            <w:pPr>
              <w:spacing w:after="0"/>
              <w:rPr>
                <w:sz w:val="23"/>
                <w:szCs w:val="23"/>
                <w:color w:val="auto"/>
              </w:rPr>
            </w:pPr>
          </w:p>
        </w:tc>
        <w:tc>
          <w:tcPr>
            <w:tcW w:w="1260" w:type="dxa"/>
            <w:vAlign w:val="bottom"/>
            <w:shd w:val="clear" w:color="auto" w:fill="D4EFF3"/>
          </w:tcPr>
          <w:p>
            <w:pPr>
              <w:spacing w:after="0"/>
              <w:rPr>
                <w:sz w:val="23"/>
                <w:szCs w:val="23"/>
                <w:color w:val="auto"/>
              </w:rPr>
            </w:pPr>
          </w:p>
        </w:tc>
        <w:tc>
          <w:tcPr>
            <w:tcW w:w="20" w:type="dxa"/>
            <w:vAlign w:val="bottom"/>
            <w:shd w:val="clear" w:color="auto" w:fill="D4EFF3"/>
          </w:tcPr>
          <w:p>
            <w:pPr>
              <w:spacing w:after="0"/>
              <w:rPr>
                <w:sz w:val="23"/>
                <w:szCs w:val="23"/>
                <w:color w:val="auto"/>
              </w:rPr>
            </w:pPr>
          </w:p>
        </w:tc>
      </w:tr>
      <w:tr>
        <w:trPr>
          <w:trHeight w:val="238"/>
        </w:trPr>
        <w:tc>
          <w:tcPr>
            <w:tcW w:w="3160" w:type="dxa"/>
            <w:vAlign w:val="bottom"/>
            <w:gridSpan w:val="2"/>
          </w:tcPr>
          <w:p>
            <w:pPr>
              <w:ind w:left="300"/>
              <w:spacing w:after="0"/>
              <w:rPr>
                <w:sz w:val="20"/>
                <w:szCs w:val="20"/>
                <w:color w:val="auto"/>
              </w:rPr>
            </w:pPr>
            <w:r>
              <w:rPr>
                <w:rFonts w:ascii="Arial" w:cs="Arial" w:eastAsia="Arial" w:hAnsi="Arial"/>
                <w:sz w:val="19"/>
                <w:szCs w:val="19"/>
                <w:color w:val="auto"/>
              </w:rPr>
              <w:t>Research and development</w:t>
            </w:r>
          </w:p>
        </w:tc>
        <w:tc>
          <w:tcPr>
            <w:tcW w:w="4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Arial" w:cs="Arial" w:eastAsia="Arial" w:hAnsi="Arial"/>
                <w:sz w:val="19"/>
                <w:szCs w:val="19"/>
                <w:color w:val="auto"/>
              </w:rPr>
              <w:t>55,969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6"/>
              <w:spacing w:after="0"/>
              <w:rPr>
                <w:sz w:val="20"/>
                <w:szCs w:val="20"/>
                <w:color w:val="auto"/>
              </w:rPr>
            </w:pPr>
            <w:r>
              <w:rPr>
                <w:rFonts w:ascii="Arial" w:cs="Arial" w:eastAsia="Arial" w:hAnsi="Arial"/>
                <w:sz w:val="19"/>
                <w:szCs w:val="19"/>
                <w:color w:val="auto"/>
              </w:rPr>
              <w:t>42,342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5"/>
              <w:spacing w:after="0"/>
              <w:rPr>
                <w:sz w:val="20"/>
                <w:szCs w:val="20"/>
                <w:color w:val="auto"/>
              </w:rPr>
            </w:pPr>
            <w:r>
              <w:rPr>
                <w:rFonts w:ascii="Arial" w:cs="Arial" w:eastAsia="Arial" w:hAnsi="Arial"/>
                <w:sz w:val="19"/>
                <w:szCs w:val="19"/>
                <w:color w:val="auto"/>
              </w:rPr>
              <w:t>13,627</w:t>
            </w:r>
          </w:p>
        </w:tc>
        <w:tc>
          <w:tcPr>
            <w:tcW w:w="20" w:type="dxa"/>
            <w:vAlign w:val="bottom"/>
          </w:tcPr>
          <w:p>
            <w:pPr>
              <w:spacing w:after="0"/>
              <w:rPr>
                <w:sz w:val="20"/>
                <w:szCs w:val="20"/>
                <w:color w:val="auto"/>
              </w:rPr>
            </w:pPr>
          </w:p>
        </w:tc>
      </w:tr>
      <w:tr>
        <w:trPr>
          <w:trHeight w:val="288"/>
        </w:trPr>
        <w:tc>
          <w:tcPr>
            <w:tcW w:w="3160" w:type="dxa"/>
            <w:vAlign w:val="bottom"/>
            <w:tcBorders>
              <w:bottom w:val="single" w:sz="8" w:color="D4EFF3"/>
            </w:tcBorders>
            <w:gridSpan w:val="2"/>
            <w:shd w:val="clear" w:color="auto" w:fill="D4EFF3"/>
          </w:tcPr>
          <w:p>
            <w:pPr>
              <w:ind w:left="300"/>
              <w:spacing w:after="0"/>
              <w:rPr>
                <w:sz w:val="20"/>
                <w:szCs w:val="20"/>
                <w:color w:val="auto"/>
              </w:rPr>
            </w:pPr>
            <w:r>
              <w:rPr>
                <w:rFonts w:ascii="Arial" w:cs="Arial" w:eastAsia="Arial" w:hAnsi="Arial"/>
                <w:sz w:val="19"/>
                <w:szCs w:val="19"/>
                <w:color w:val="auto"/>
              </w:rPr>
              <w:t>General and administrative</w:t>
            </w:r>
          </w:p>
        </w:tc>
        <w:tc>
          <w:tcPr>
            <w:tcW w:w="420" w:type="dxa"/>
            <w:vAlign w:val="bottom"/>
            <w:tcBorders>
              <w:bottom w:val="single" w:sz="8" w:color="auto"/>
            </w:tcBorders>
            <w:shd w:val="clear" w:color="auto" w:fill="D4EFF3"/>
          </w:tcPr>
          <w:p>
            <w:pPr>
              <w:spacing w:after="0"/>
              <w:rPr>
                <w:sz w:val="24"/>
                <w:szCs w:val="24"/>
                <w:color w:val="auto"/>
              </w:rPr>
            </w:pPr>
          </w:p>
        </w:tc>
        <w:tc>
          <w:tcPr>
            <w:tcW w:w="122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16,870</w:t>
            </w:r>
          </w:p>
        </w:tc>
        <w:tc>
          <w:tcPr>
            <w:tcW w:w="140" w:type="dxa"/>
            <w:vAlign w:val="bottom"/>
            <w:tcBorders>
              <w:bottom w:val="single" w:sz="8" w:color="D4EFF3"/>
            </w:tcBorders>
            <w:shd w:val="clear" w:color="auto" w:fill="D4EFF3"/>
          </w:tcPr>
          <w:p>
            <w:pPr>
              <w:spacing w:after="0"/>
              <w:rPr>
                <w:sz w:val="24"/>
                <w:szCs w:val="24"/>
                <w:color w:val="auto"/>
              </w:rPr>
            </w:pPr>
          </w:p>
        </w:tc>
        <w:tc>
          <w:tcPr>
            <w:tcW w:w="400" w:type="dxa"/>
            <w:vAlign w:val="bottom"/>
            <w:tcBorders>
              <w:bottom w:val="single" w:sz="8" w:color="auto"/>
            </w:tcBorders>
            <w:shd w:val="clear" w:color="auto" w:fill="D4EFF3"/>
          </w:tcPr>
          <w:p>
            <w:pPr>
              <w:spacing w:after="0"/>
              <w:rPr>
                <w:sz w:val="24"/>
                <w:szCs w:val="24"/>
                <w:color w:val="auto"/>
              </w:rPr>
            </w:pPr>
          </w:p>
        </w:tc>
        <w:tc>
          <w:tcPr>
            <w:tcW w:w="12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15,133</w:t>
            </w:r>
          </w:p>
        </w:tc>
        <w:tc>
          <w:tcPr>
            <w:tcW w:w="160" w:type="dxa"/>
            <w:vAlign w:val="bottom"/>
            <w:tcBorders>
              <w:bottom w:val="single" w:sz="8" w:color="D4EFF3"/>
            </w:tcBorders>
            <w:shd w:val="clear" w:color="auto" w:fill="D4EFF3"/>
          </w:tcPr>
          <w:p>
            <w:pPr>
              <w:spacing w:after="0"/>
              <w:rPr>
                <w:sz w:val="24"/>
                <w:szCs w:val="24"/>
                <w:color w:val="auto"/>
              </w:rPr>
            </w:pPr>
          </w:p>
        </w:tc>
        <w:tc>
          <w:tcPr>
            <w:tcW w:w="80" w:type="dxa"/>
            <w:vAlign w:val="bottom"/>
            <w:tcBorders>
              <w:bottom w:val="single" w:sz="8" w:color="auto"/>
            </w:tcBorders>
            <w:shd w:val="clear" w:color="auto" w:fill="D4EFF3"/>
          </w:tcPr>
          <w:p>
            <w:pPr>
              <w:spacing w:after="0"/>
              <w:rPr>
                <w:sz w:val="24"/>
                <w:szCs w:val="24"/>
                <w:color w:val="auto"/>
              </w:rPr>
            </w:pPr>
          </w:p>
        </w:tc>
        <w:tc>
          <w:tcPr>
            <w:tcW w:w="300" w:type="dxa"/>
            <w:vAlign w:val="bottom"/>
            <w:tcBorders>
              <w:bottom w:val="single" w:sz="8" w:color="auto"/>
            </w:tcBorders>
            <w:shd w:val="clear" w:color="auto" w:fill="D4EFF3"/>
          </w:tcPr>
          <w:p>
            <w:pPr>
              <w:spacing w:after="0"/>
              <w:rPr>
                <w:sz w:val="24"/>
                <w:szCs w:val="24"/>
                <w:color w:val="auto"/>
              </w:rPr>
            </w:pPr>
          </w:p>
        </w:tc>
        <w:tc>
          <w:tcPr>
            <w:tcW w:w="1260" w:type="dxa"/>
            <w:vAlign w:val="bottom"/>
            <w:tcBorders>
              <w:bottom w:val="single" w:sz="8" w:color="auto"/>
            </w:tcBorders>
            <w:shd w:val="clear" w:color="auto" w:fill="D4EFF3"/>
          </w:tcPr>
          <w:p>
            <w:pPr>
              <w:jc w:val="right"/>
              <w:ind w:right="5"/>
              <w:spacing w:after="0"/>
              <w:rPr>
                <w:sz w:val="20"/>
                <w:szCs w:val="20"/>
                <w:color w:val="auto"/>
              </w:rPr>
            </w:pPr>
            <w:r>
              <w:rPr>
                <w:rFonts w:ascii="Arial" w:cs="Arial" w:eastAsia="Arial" w:hAnsi="Arial"/>
                <w:sz w:val="19"/>
                <w:szCs w:val="19"/>
                <w:color w:val="auto"/>
              </w:rPr>
              <w:t>1,737</w:t>
            </w:r>
          </w:p>
        </w:tc>
        <w:tc>
          <w:tcPr>
            <w:tcW w:w="20" w:type="dxa"/>
            <w:vAlign w:val="bottom"/>
            <w:tcBorders>
              <w:bottom w:val="single" w:sz="8" w:color="auto"/>
            </w:tcBorders>
            <w:shd w:val="clear" w:color="auto" w:fill="D4EFF3"/>
          </w:tcPr>
          <w:p>
            <w:pPr>
              <w:spacing w:after="0"/>
              <w:rPr>
                <w:sz w:val="24"/>
                <w:szCs w:val="24"/>
                <w:color w:val="auto"/>
              </w:rPr>
            </w:pPr>
          </w:p>
        </w:tc>
      </w:tr>
      <w:tr>
        <w:trPr>
          <w:trHeight w:val="218"/>
        </w:trPr>
        <w:tc>
          <w:tcPr>
            <w:tcW w:w="3160" w:type="dxa"/>
            <w:vAlign w:val="bottom"/>
            <w:tcBorders>
              <w:bottom w:val="single" w:sz="8" w:color="D4EFF3"/>
            </w:tcBorders>
            <w:gridSpan w:val="2"/>
          </w:tcPr>
          <w:p>
            <w:pPr>
              <w:ind w:left="560"/>
              <w:spacing w:after="0" w:line="188" w:lineRule="exact"/>
              <w:rPr>
                <w:sz w:val="20"/>
                <w:szCs w:val="20"/>
                <w:color w:val="auto"/>
              </w:rPr>
            </w:pPr>
            <w:r>
              <w:rPr>
                <w:rFonts w:ascii="Arial" w:cs="Arial" w:eastAsia="Arial" w:hAnsi="Arial"/>
                <w:sz w:val="19"/>
                <w:szCs w:val="19"/>
                <w:color w:val="auto"/>
              </w:rPr>
              <w:t>Total operating expenses</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
              <w:spacing w:after="0" w:line="188" w:lineRule="exact"/>
              <w:rPr>
                <w:sz w:val="20"/>
                <w:szCs w:val="20"/>
                <w:color w:val="auto"/>
              </w:rPr>
            </w:pPr>
            <w:r>
              <w:rPr>
                <w:rFonts w:ascii="Arial" w:cs="Arial" w:eastAsia="Arial" w:hAnsi="Arial"/>
                <w:sz w:val="19"/>
                <w:szCs w:val="19"/>
                <w:color w:val="auto"/>
              </w:rPr>
              <w:t>72,839</w:t>
            </w:r>
          </w:p>
        </w:tc>
        <w:tc>
          <w:tcPr>
            <w:tcW w:w="140" w:type="dxa"/>
            <w:vAlign w:val="bottom"/>
            <w:tcBorders>
              <w:bottom w:val="single" w:sz="8" w:color="D4EFF3"/>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
              <w:spacing w:after="0" w:line="188" w:lineRule="exact"/>
              <w:rPr>
                <w:sz w:val="20"/>
                <w:szCs w:val="20"/>
                <w:color w:val="auto"/>
              </w:rPr>
            </w:pPr>
            <w:r>
              <w:rPr>
                <w:rFonts w:ascii="Arial" w:cs="Arial" w:eastAsia="Arial" w:hAnsi="Arial"/>
                <w:sz w:val="19"/>
                <w:szCs w:val="19"/>
                <w:color w:val="auto"/>
              </w:rPr>
              <w:t>57,475</w:t>
            </w:r>
          </w:p>
        </w:tc>
        <w:tc>
          <w:tcPr>
            <w:tcW w:w="160" w:type="dxa"/>
            <w:vAlign w:val="bottom"/>
            <w:tcBorders>
              <w:bottom w:val="single" w:sz="8" w:color="D4EFF3"/>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
              <w:spacing w:after="0" w:line="188" w:lineRule="exact"/>
              <w:rPr>
                <w:sz w:val="20"/>
                <w:szCs w:val="20"/>
                <w:color w:val="auto"/>
              </w:rPr>
            </w:pPr>
            <w:r>
              <w:rPr>
                <w:rFonts w:ascii="Arial" w:cs="Arial" w:eastAsia="Arial" w:hAnsi="Arial"/>
                <w:sz w:val="19"/>
                <w:szCs w:val="19"/>
                <w:color w:val="auto"/>
              </w:rPr>
              <w:t>15,364</w:t>
            </w:r>
          </w:p>
        </w:tc>
        <w:tc>
          <w:tcPr>
            <w:tcW w:w="20" w:type="dxa"/>
            <w:vAlign w:val="bottom"/>
            <w:tcBorders>
              <w:bottom w:val="single" w:sz="8" w:color="auto"/>
            </w:tcBorders>
          </w:tcPr>
          <w:p>
            <w:pPr>
              <w:spacing w:after="0"/>
              <w:rPr>
                <w:sz w:val="18"/>
                <w:szCs w:val="18"/>
                <w:color w:val="auto"/>
              </w:rPr>
            </w:pPr>
          </w:p>
        </w:tc>
      </w:tr>
      <w:tr>
        <w:trPr>
          <w:trHeight w:val="233"/>
        </w:trPr>
        <w:tc>
          <w:tcPr>
            <w:tcW w:w="3160" w:type="dxa"/>
            <w:vAlign w:val="bottom"/>
            <w:tcBorders>
              <w:top w:val="single" w:sz="8" w:color="D4EFF3"/>
            </w:tcBorders>
            <w:gridSpan w:val="2"/>
            <w:shd w:val="clear" w:color="auto" w:fill="D4EFF3"/>
          </w:tcPr>
          <w:p>
            <w:pPr>
              <w:ind w:left="560"/>
              <w:spacing w:after="0"/>
              <w:rPr>
                <w:sz w:val="20"/>
                <w:szCs w:val="20"/>
                <w:color w:val="auto"/>
              </w:rPr>
            </w:pPr>
            <w:r>
              <w:rPr>
                <w:rFonts w:ascii="Arial" w:cs="Arial" w:eastAsia="Arial" w:hAnsi="Arial"/>
                <w:sz w:val="19"/>
                <w:szCs w:val="19"/>
                <w:color w:val="auto"/>
              </w:rPr>
              <w:t>Loss from operations</w:t>
            </w:r>
          </w:p>
        </w:tc>
        <w:tc>
          <w:tcPr>
            <w:tcW w:w="420" w:type="dxa"/>
            <w:vAlign w:val="bottom"/>
            <w:tcBorders>
              <w:top w:val="single" w:sz="8" w:color="D4EFF3"/>
            </w:tcBorders>
            <w:shd w:val="clear" w:color="auto" w:fill="D4EFF3"/>
          </w:tcPr>
          <w:p>
            <w:pPr>
              <w:spacing w:after="0"/>
              <w:rPr>
                <w:sz w:val="20"/>
                <w:szCs w:val="20"/>
                <w:color w:val="auto"/>
              </w:rPr>
            </w:pPr>
          </w:p>
        </w:tc>
        <w:tc>
          <w:tcPr>
            <w:tcW w:w="1220" w:type="dxa"/>
            <w:vAlign w:val="bottom"/>
            <w:tcBorders>
              <w:top w:val="single" w:sz="8" w:color="D4EFF3"/>
            </w:tcBorders>
            <w:shd w:val="clear" w:color="auto" w:fill="D4EFF3"/>
          </w:tcPr>
          <w:p>
            <w:pPr>
              <w:jc w:val="right"/>
              <w:spacing w:after="0"/>
              <w:rPr>
                <w:sz w:val="20"/>
                <w:szCs w:val="20"/>
                <w:color w:val="auto"/>
              </w:rPr>
            </w:pPr>
            <w:r>
              <w:rPr>
                <w:rFonts w:ascii="Arial" w:cs="Arial" w:eastAsia="Arial" w:hAnsi="Arial"/>
                <w:sz w:val="19"/>
                <w:szCs w:val="19"/>
                <w:color w:val="auto"/>
              </w:rPr>
              <w:t>(72,839)</w:t>
            </w:r>
          </w:p>
        </w:tc>
        <w:tc>
          <w:tcPr>
            <w:tcW w:w="140" w:type="dxa"/>
            <w:vAlign w:val="bottom"/>
            <w:tcBorders>
              <w:top w:val="single" w:sz="8" w:color="D4EFF3"/>
            </w:tcBorders>
            <w:shd w:val="clear" w:color="auto" w:fill="D4EFF3"/>
          </w:tcPr>
          <w:p>
            <w:pPr>
              <w:spacing w:after="0"/>
              <w:rPr>
                <w:sz w:val="20"/>
                <w:szCs w:val="20"/>
                <w:color w:val="auto"/>
              </w:rPr>
            </w:pPr>
          </w:p>
        </w:tc>
        <w:tc>
          <w:tcPr>
            <w:tcW w:w="400" w:type="dxa"/>
            <w:vAlign w:val="bottom"/>
            <w:tcBorders>
              <w:top w:val="single" w:sz="8" w:color="D4EFF3"/>
            </w:tcBorders>
            <w:shd w:val="clear" w:color="auto" w:fill="D4EFF3"/>
          </w:tcPr>
          <w:p>
            <w:pPr>
              <w:spacing w:after="0"/>
              <w:rPr>
                <w:sz w:val="20"/>
                <w:szCs w:val="20"/>
                <w:color w:val="auto"/>
              </w:rPr>
            </w:pPr>
          </w:p>
        </w:tc>
        <w:tc>
          <w:tcPr>
            <w:tcW w:w="1240" w:type="dxa"/>
            <w:vAlign w:val="bottom"/>
            <w:tcBorders>
              <w:top w:val="single" w:sz="8" w:color="D4EFF3"/>
            </w:tcBorders>
            <w:shd w:val="clear" w:color="auto" w:fill="D4EFF3"/>
          </w:tcPr>
          <w:p>
            <w:pPr>
              <w:jc w:val="right"/>
              <w:spacing w:after="0"/>
              <w:rPr>
                <w:sz w:val="20"/>
                <w:szCs w:val="20"/>
                <w:color w:val="auto"/>
              </w:rPr>
            </w:pPr>
            <w:r>
              <w:rPr>
                <w:rFonts w:ascii="Arial" w:cs="Arial" w:eastAsia="Arial" w:hAnsi="Arial"/>
                <w:sz w:val="19"/>
                <w:szCs w:val="19"/>
                <w:color w:val="auto"/>
              </w:rPr>
              <w:t>(56,625)</w:t>
            </w:r>
          </w:p>
        </w:tc>
        <w:tc>
          <w:tcPr>
            <w:tcW w:w="160" w:type="dxa"/>
            <w:vAlign w:val="bottom"/>
            <w:tcBorders>
              <w:top w:val="single" w:sz="8" w:color="D4EFF3"/>
            </w:tcBorders>
            <w:shd w:val="clear" w:color="auto" w:fill="D4EFF3"/>
          </w:tcPr>
          <w:p>
            <w:pPr>
              <w:spacing w:after="0"/>
              <w:rPr>
                <w:sz w:val="20"/>
                <w:szCs w:val="20"/>
                <w:color w:val="auto"/>
              </w:rPr>
            </w:pPr>
          </w:p>
        </w:tc>
        <w:tc>
          <w:tcPr>
            <w:tcW w:w="80" w:type="dxa"/>
            <w:vAlign w:val="bottom"/>
            <w:tcBorders>
              <w:top w:val="single" w:sz="8" w:color="auto"/>
            </w:tcBorders>
            <w:shd w:val="clear" w:color="auto" w:fill="D4EFF3"/>
          </w:tcPr>
          <w:p>
            <w:pPr>
              <w:spacing w:after="0"/>
              <w:rPr>
                <w:sz w:val="20"/>
                <w:szCs w:val="20"/>
                <w:color w:val="auto"/>
              </w:rPr>
            </w:pPr>
          </w:p>
        </w:tc>
        <w:tc>
          <w:tcPr>
            <w:tcW w:w="300" w:type="dxa"/>
            <w:vAlign w:val="bottom"/>
            <w:tcBorders>
              <w:top w:val="single" w:sz="8" w:color="auto"/>
            </w:tcBorders>
            <w:shd w:val="clear" w:color="auto" w:fill="D4EFF3"/>
          </w:tcPr>
          <w:p>
            <w:pPr>
              <w:spacing w:after="0"/>
              <w:rPr>
                <w:sz w:val="20"/>
                <w:szCs w:val="20"/>
                <w:color w:val="auto"/>
              </w:rPr>
            </w:pPr>
          </w:p>
        </w:tc>
        <w:tc>
          <w:tcPr>
            <w:tcW w:w="1260" w:type="dxa"/>
            <w:vAlign w:val="bottom"/>
            <w:tcBorders>
              <w:top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(15,364)</w:t>
            </w:r>
          </w:p>
        </w:tc>
        <w:tc>
          <w:tcPr>
            <w:tcW w:w="20" w:type="dxa"/>
            <w:vAlign w:val="bottom"/>
            <w:tcBorders>
              <w:top w:val="single" w:sz="8" w:color="auto"/>
            </w:tcBorders>
            <w:shd w:val="clear" w:color="auto" w:fill="D4EFF3"/>
          </w:tcPr>
          <w:p>
            <w:pPr>
              <w:spacing w:after="0"/>
              <w:rPr>
                <w:sz w:val="20"/>
                <w:szCs w:val="20"/>
                <w:color w:val="auto"/>
              </w:rPr>
            </w:pPr>
          </w:p>
        </w:tc>
      </w:tr>
      <w:tr>
        <w:trPr>
          <w:trHeight w:val="233"/>
        </w:trPr>
        <w:tc>
          <w:tcPr>
            <w:tcW w:w="3160" w:type="dxa"/>
            <w:vAlign w:val="bottom"/>
            <w:gridSpan w:val="2"/>
          </w:tcPr>
          <w:p>
            <w:pPr>
              <w:ind w:left="300"/>
              <w:spacing w:after="0"/>
              <w:rPr>
                <w:sz w:val="20"/>
                <w:szCs w:val="20"/>
                <w:color w:val="auto"/>
              </w:rPr>
            </w:pPr>
            <w:r>
              <w:rPr>
                <w:rFonts w:ascii="Arial" w:cs="Arial" w:eastAsia="Arial" w:hAnsi="Arial"/>
                <w:sz w:val="19"/>
                <w:szCs w:val="19"/>
                <w:color w:val="auto"/>
              </w:rPr>
              <w:t>Other income</w:t>
            </w:r>
          </w:p>
        </w:tc>
        <w:tc>
          <w:tcPr>
            <w:tcW w:w="420" w:type="dxa"/>
            <w:vAlign w:val="bottom"/>
          </w:tcPr>
          <w:p>
            <w:pPr>
              <w:spacing w:after="0"/>
              <w:rPr>
                <w:sz w:val="20"/>
                <w:szCs w:val="20"/>
                <w:color w:val="auto"/>
              </w:rPr>
            </w:pPr>
          </w:p>
        </w:tc>
        <w:tc>
          <w:tcPr>
            <w:tcW w:w="1220" w:type="dxa"/>
            <w:vAlign w:val="bottom"/>
          </w:tcPr>
          <w:p>
            <w:pPr>
              <w:jc w:val="right"/>
              <w:ind w:right="6"/>
              <w:spacing w:after="0"/>
              <w:rPr>
                <w:sz w:val="20"/>
                <w:szCs w:val="20"/>
                <w:color w:val="auto"/>
              </w:rPr>
            </w:pPr>
            <w:r>
              <w:rPr>
                <w:rFonts w:ascii="Arial" w:cs="Arial" w:eastAsia="Arial" w:hAnsi="Arial"/>
                <w:sz w:val="19"/>
                <w:szCs w:val="19"/>
                <w:color w:val="auto"/>
              </w:rPr>
              <w:t>6,350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6"/>
              <w:spacing w:after="0"/>
              <w:rPr>
                <w:sz w:val="20"/>
                <w:szCs w:val="20"/>
                <w:color w:val="auto"/>
              </w:rPr>
            </w:pPr>
            <w:r>
              <w:rPr>
                <w:rFonts w:ascii="Arial" w:cs="Arial" w:eastAsia="Arial" w:hAnsi="Arial"/>
                <w:sz w:val="19"/>
                <w:szCs w:val="19"/>
                <w:color w:val="auto"/>
              </w:rPr>
              <w:t>7,250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(900)</w:t>
            </w:r>
          </w:p>
        </w:tc>
        <w:tc>
          <w:tcPr>
            <w:tcW w:w="20" w:type="dxa"/>
            <w:vAlign w:val="bottom"/>
          </w:tcPr>
          <w:p>
            <w:pPr>
              <w:spacing w:after="0"/>
              <w:rPr>
                <w:sz w:val="20"/>
                <w:szCs w:val="20"/>
                <w:color w:val="auto"/>
              </w:rPr>
            </w:pPr>
          </w:p>
        </w:tc>
      </w:tr>
      <w:tr>
        <w:trPr>
          <w:trHeight w:val="288"/>
        </w:trPr>
        <w:tc>
          <w:tcPr>
            <w:tcW w:w="3140" w:type="dxa"/>
            <w:vAlign w:val="bottom"/>
            <w:tcBorders>
              <w:top w:val="single" w:sz="8" w:color="D4EFF3"/>
              <w:bottom w:val="single" w:sz="8" w:color="D4EFF3"/>
            </w:tcBorders>
            <w:shd w:val="clear" w:color="auto" w:fill="D4EFF3"/>
          </w:tcPr>
          <w:p>
            <w:pPr>
              <w:ind w:left="580"/>
              <w:spacing w:after="0"/>
              <w:rPr>
                <w:sz w:val="20"/>
                <w:szCs w:val="20"/>
                <w:color w:val="auto"/>
              </w:rPr>
            </w:pPr>
            <w:r>
              <w:rPr>
                <w:rFonts w:ascii="Arial" w:cs="Arial" w:eastAsia="Arial" w:hAnsi="Arial"/>
                <w:sz w:val="19"/>
                <w:szCs w:val="19"/>
                <w:color w:val="auto"/>
              </w:rPr>
              <w:t>Net loss</w:t>
            </w:r>
          </w:p>
        </w:tc>
        <w:tc>
          <w:tcPr>
            <w:tcW w:w="20" w:type="dxa"/>
            <w:vAlign w:val="bottom"/>
            <w:tcBorders>
              <w:top w:val="single" w:sz="8" w:color="auto"/>
              <w:bottom w:val="single" w:sz="8" w:color="auto"/>
            </w:tcBorders>
            <w:shd w:val="clear" w:color="auto" w:fill="D4EFF3"/>
          </w:tcPr>
          <w:p>
            <w:pPr>
              <w:spacing w:after="0"/>
              <w:rPr>
                <w:sz w:val="24"/>
                <w:szCs w:val="24"/>
                <w:color w:val="auto"/>
              </w:rPr>
            </w:pPr>
          </w:p>
        </w:tc>
        <w:tc>
          <w:tcPr>
            <w:tcW w:w="420" w:type="dxa"/>
            <w:vAlign w:val="bottom"/>
            <w:tcBorders>
              <w:top w:val="single" w:sz="8" w:color="auto"/>
              <w:bottom w:val="single" w:sz="8" w:color="auto"/>
            </w:tcBorders>
            <w:shd w:val="clear" w:color="auto" w:fill="D4EFF3"/>
          </w:tcPr>
          <w:p>
            <w:pPr>
              <w:jc w:val="right"/>
              <w:ind w:right="103"/>
              <w:spacing w:after="0"/>
              <w:rPr>
                <w:sz w:val="20"/>
                <w:szCs w:val="20"/>
                <w:color w:val="auto"/>
              </w:rPr>
            </w:pPr>
            <w:r>
              <w:rPr>
                <w:rFonts w:ascii="Arial" w:cs="Arial" w:eastAsia="Arial" w:hAnsi="Arial"/>
                <w:sz w:val="19"/>
                <w:szCs w:val="19"/>
                <w:color w:val="auto"/>
              </w:rPr>
              <w:t>$</w:t>
            </w:r>
          </w:p>
        </w:tc>
        <w:tc>
          <w:tcPr>
            <w:tcW w:w="1220" w:type="dxa"/>
            <w:vAlign w:val="bottom"/>
            <w:tcBorders>
              <w:top w:val="single" w:sz="8" w:color="auto"/>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(66,489)</w:t>
            </w:r>
          </w:p>
        </w:tc>
        <w:tc>
          <w:tcPr>
            <w:tcW w:w="140" w:type="dxa"/>
            <w:vAlign w:val="bottom"/>
            <w:tcBorders>
              <w:top w:val="single" w:sz="8" w:color="D4EFF3"/>
              <w:bottom w:val="single" w:sz="8" w:color="D4EFF3"/>
            </w:tcBorders>
            <w:shd w:val="clear" w:color="auto" w:fill="D4EFF3"/>
          </w:tcPr>
          <w:p>
            <w:pPr>
              <w:spacing w:after="0"/>
              <w:rPr>
                <w:sz w:val="24"/>
                <w:szCs w:val="24"/>
                <w:color w:val="auto"/>
              </w:rPr>
            </w:pPr>
          </w:p>
        </w:tc>
        <w:tc>
          <w:tcPr>
            <w:tcW w:w="400" w:type="dxa"/>
            <w:vAlign w:val="bottom"/>
            <w:tcBorders>
              <w:top w:val="single" w:sz="8" w:color="auto"/>
              <w:bottom w:val="single" w:sz="8" w:color="auto"/>
            </w:tcBorders>
            <w:shd w:val="clear" w:color="auto" w:fill="D4EFF3"/>
          </w:tcPr>
          <w:p>
            <w:pPr>
              <w:jc w:val="right"/>
              <w:ind w:right="63"/>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(49,375)</w:t>
            </w:r>
          </w:p>
        </w:tc>
        <w:tc>
          <w:tcPr>
            <w:tcW w:w="160" w:type="dxa"/>
            <w:vAlign w:val="bottom"/>
            <w:tcBorders>
              <w:top w:val="single" w:sz="8" w:color="D4EFF3"/>
              <w:bottom w:val="single" w:sz="8" w:color="D4EFF3"/>
            </w:tcBorders>
            <w:shd w:val="clear" w:color="auto" w:fill="D4EFF3"/>
          </w:tcPr>
          <w:p>
            <w:pPr>
              <w:spacing w:after="0"/>
              <w:rPr>
                <w:sz w:val="24"/>
                <w:szCs w:val="24"/>
                <w:color w:val="auto"/>
              </w:rPr>
            </w:pPr>
          </w:p>
        </w:tc>
        <w:tc>
          <w:tcPr>
            <w:tcW w:w="80" w:type="dxa"/>
            <w:vAlign w:val="bottom"/>
            <w:tcBorders>
              <w:top w:val="single" w:sz="8" w:color="auto"/>
              <w:bottom w:val="single" w:sz="8" w:color="auto"/>
            </w:tcBorders>
            <w:shd w:val="clear" w:color="auto" w:fill="D4EFF3"/>
          </w:tcPr>
          <w:p>
            <w:pPr>
              <w:spacing w:after="0"/>
              <w:rPr>
                <w:sz w:val="24"/>
                <w:szCs w:val="24"/>
                <w:color w:val="auto"/>
              </w:rPr>
            </w:pPr>
          </w:p>
        </w:tc>
        <w:tc>
          <w:tcPr>
            <w:tcW w:w="300" w:type="dxa"/>
            <w:vAlign w:val="bottom"/>
            <w:tcBorders>
              <w:top w:val="single" w:sz="8" w:color="auto"/>
              <w:bottom w:val="single" w:sz="8" w:color="auto"/>
            </w:tcBorders>
            <w:shd w:val="clear" w:color="auto" w:fill="D4EFF3"/>
          </w:tcPr>
          <w:p>
            <w:pPr>
              <w:jc w:val="right"/>
              <w:ind w:right="43"/>
              <w:spacing w:after="0"/>
              <w:rPr>
                <w:sz w:val="20"/>
                <w:szCs w:val="20"/>
                <w:color w:val="auto"/>
              </w:rPr>
            </w:pPr>
            <w:r>
              <w:rPr>
                <w:rFonts w:ascii="Arial" w:cs="Arial" w:eastAsia="Arial" w:hAnsi="Arial"/>
                <w:sz w:val="19"/>
                <w:szCs w:val="19"/>
                <w:color w:val="auto"/>
              </w:rPr>
              <w:t>$</w:t>
            </w:r>
          </w:p>
        </w:tc>
        <w:tc>
          <w:tcPr>
            <w:tcW w:w="1260" w:type="dxa"/>
            <w:vAlign w:val="bottom"/>
            <w:tcBorders>
              <w:top w:val="single" w:sz="8" w:color="auto"/>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(16,264)</w:t>
            </w:r>
          </w:p>
        </w:tc>
        <w:tc>
          <w:tcPr>
            <w:tcW w:w="20" w:type="dxa"/>
            <w:vAlign w:val="bottom"/>
            <w:tcBorders>
              <w:top w:val="single" w:sz="8" w:color="auto"/>
              <w:bottom w:val="single" w:sz="8" w:color="auto"/>
            </w:tcBorders>
            <w:shd w:val="clear" w:color="auto" w:fill="D4EFF3"/>
          </w:tcPr>
          <w:p>
            <w:pPr>
              <w:spacing w:after="0"/>
              <w:rPr>
                <w:sz w:val="24"/>
                <w:szCs w:val="24"/>
                <w:color w:val="auto"/>
              </w:rPr>
            </w:pPr>
          </w:p>
        </w:tc>
      </w:tr>
    </w:tbl>
    <w:p>
      <w:pPr>
        <w:spacing w:after="0" w:line="257"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Licensing revenue</w:t>
      </w:r>
    </w:p>
    <w:p>
      <w:pPr>
        <w:spacing w:after="0" w:line="232" w:lineRule="exact"/>
        <w:rPr>
          <w:sz w:val="20"/>
          <w:szCs w:val="20"/>
          <w:color w:val="auto"/>
        </w:rPr>
      </w:pPr>
    </w:p>
    <w:p>
      <w:pPr>
        <w:ind w:right="300" w:firstLine="490"/>
        <w:spacing w:after="0" w:line="250" w:lineRule="auto"/>
        <w:rPr>
          <w:sz w:val="20"/>
          <w:szCs w:val="20"/>
          <w:color w:val="auto"/>
        </w:rPr>
      </w:pPr>
      <w:r>
        <w:rPr>
          <w:rFonts w:ascii="Arial" w:cs="Arial" w:eastAsia="Arial" w:hAnsi="Arial"/>
          <w:sz w:val="20"/>
          <w:szCs w:val="20"/>
          <w:color w:val="auto"/>
        </w:rPr>
        <w:t>There was no licensing revenue for the year ended December 31, 2025. Licensing revenue was $850 thousand for the year ended December 31, 2024. The licensing revenue consisted of a $1 million milestone payment from Elpiscience for completing a Phase 1 trial in China. This license revenue is reported net of a 15% sublicense royalty due to ABL Bio (see Note 11 of the consolidated financial statements appearing in this Form 10-K for further information on this sublicense agreement).</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Research and development expenses</w:t>
      </w:r>
    </w:p>
    <w:p>
      <w:pPr>
        <w:spacing w:after="0" w:line="232" w:lineRule="exact"/>
        <w:rPr>
          <w:sz w:val="20"/>
          <w:szCs w:val="20"/>
          <w:color w:val="auto"/>
        </w:rPr>
      </w:pPr>
    </w:p>
    <w:p>
      <w:pPr>
        <w:ind w:right="20" w:firstLine="490"/>
        <w:spacing w:after="0" w:line="260" w:lineRule="auto"/>
        <w:rPr>
          <w:sz w:val="20"/>
          <w:szCs w:val="20"/>
          <w:color w:val="auto"/>
        </w:rPr>
      </w:pPr>
      <w:r>
        <w:rPr>
          <w:rFonts w:ascii="Arial" w:cs="Arial" w:eastAsia="Arial" w:hAnsi="Arial"/>
          <w:sz w:val="20"/>
          <w:szCs w:val="20"/>
          <w:color w:val="auto"/>
        </w:rPr>
        <w:t>Research and development expenses increased by $13.6 million from $42.3 million in 2024 to $56.0 million in 2025. This increase was primarily attributable to an increase of $14.2 million of manufacturing expenses related to tovecimig and CTX-10726.</w:t>
      </w:r>
    </w:p>
    <w:p>
      <w:pPr>
        <w:spacing w:after="0" w:line="181"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auto"/>
        </w:rPr>
        <w:t>We track supplies, outsourced development, personnel costs and other research and development costs of specific programs. Facility and equipment costs are not allocated to programs. Research and development expenses are summarized by program in the table below:</w:t>
      </w:r>
    </w:p>
    <w:p>
      <w:pPr>
        <w:spacing w:after="0" w:line="242"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4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Change</w:t>
            </w:r>
          </w:p>
        </w:tc>
      </w:tr>
      <w:tr>
        <w:trPr>
          <w:trHeight w:val="191"/>
        </w:trPr>
        <w:tc>
          <w:tcPr>
            <w:tcW w:w="4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227"/>
              <w:spacing w:after="0"/>
              <w:rPr>
                <w:sz w:val="20"/>
                <w:szCs w:val="20"/>
                <w:color w:val="auto"/>
              </w:rPr>
            </w:pPr>
            <w:r>
              <w:rPr>
                <w:rFonts w:ascii="Arial" w:cs="Arial" w:eastAsia="Arial" w:hAnsi="Arial"/>
                <w:sz w:val="16"/>
                <w:szCs w:val="16"/>
                <w:b w:val="1"/>
                <w:bCs w:val="1"/>
                <w:color w:val="auto"/>
              </w:rPr>
              <w:t>(000's)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6"/>
        </w:trPr>
        <w:tc>
          <w:tcPr>
            <w:tcW w:w="4080" w:type="dxa"/>
            <w:vAlign w:val="bottom"/>
          </w:tcPr>
          <w:p>
            <w:pPr>
              <w:ind w:left="20"/>
              <w:spacing w:after="0"/>
              <w:rPr>
                <w:sz w:val="20"/>
                <w:szCs w:val="20"/>
                <w:color w:val="auto"/>
              </w:rPr>
            </w:pPr>
            <w:r>
              <w:rPr>
                <w:rFonts w:ascii="Arial" w:cs="Arial" w:eastAsia="Arial" w:hAnsi="Arial"/>
                <w:sz w:val="19"/>
                <w:szCs w:val="19"/>
                <w:color w:val="auto"/>
              </w:rPr>
              <w:t>tovecimig</w:t>
            </w:r>
          </w:p>
        </w:tc>
        <w:tc>
          <w:tcPr>
            <w:tcW w:w="3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980" w:type="dxa"/>
            <w:vAlign w:val="bottom"/>
          </w:tcPr>
          <w:p>
            <w:pPr>
              <w:jc w:val="right"/>
              <w:ind w:right="7"/>
              <w:spacing w:after="0"/>
              <w:rPr>
                <w:sz w:val="20"/>
                <w:szCs w:val="20"/>
                <w:color w:val="auto"/>
              </w:rPr>
            </w:pPr>
            <w:r>
              <w:rPr>
                <w:rFonts w:ascii="Arial" w:cs="Arial" w:eastAsia="Arial" w:hAnsi="Arial"/>
                <w:sz w:val="19"/>
                <w:szCs w:val="19"/>
                <w:color w:val="auto"/>
              </w:rPr>
              <w:t>25,259</w:t>
            </w: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7"/>
              <w:spacing w:after="0"/>
              <w:rPr>
                <w:sz w:val="20"/>
                <w:szCs w:val="20"/>
                <w:color w:val="auto"/>
              </w:rPr>
            </w:pPr>
            <w:r>
              <w:rPr>
                <w:rFonts w:ascii="Arial" w:cs="Arial" w:eastAsia="Arial" w:hAnsi="Arial"/>
                <w:sz w:val="19"/>
                <w:szCs w:val="19"/>
                <w:color w:val="auto"/>
              </w:rPr>
              <w:t>27,938</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(2,679)</w:t>
            </w:r>
          </w:p>
        </w:tc>
      </w:tr>
      <w:tr>
        <w:trPr>
          <w:trHeight w:val="268"/>
        </w:trPr>
        <w:tc>
          <w:tcPr>
            <w:tcW w:w="4080" w:type="dxa"/>
            <w:vAlign w:val="bottom"/>
            <w:shd w:val="clear" w:color="auto" w:fill="D4EFF3"/>
          </w:tcPr>
          <w:p>
            <w:pPr>
              <w:ind w:left="20"/>
              <w:spacing w:after="0"/>
              <w:rPr>
                <w:sz w:val="20"/>
                <w:szCs w:val="20"/>
                <w:color w:val="auto"/>
              </w:rPr>
            </w:pPr>
            <w:r>
              <w:rPr>
                <w:rFonts w:ascii="Arial" w:cs="Arial" w:eastAsia="Arial" w:hAnsi="Arial"/>
                <w:sz w:val="19"/>
                <w:szCs w:val="19"/>
                <w:color w:val="auto"/>
              </w:rPr>
              <w:t>CTX-471</w:t>
            </w:r>
          </w:p>
        </w:tc>
        <w:tc>
          <w:tcPr>
            <w:tcW w:w="360" w:type="dxa"/>
            <w:vAlign w:val="bottom"/>
            <w:shd w:val="clear" w:color="auto" w:fill="D4EFF3"/>
          </w:tcPr>
          <w:p>
            <w:pPr>
              <w:spacing w:after="0"/>
              <w:rPr>
                <w:sz w:val="23"/>
                <w:szCs w:val="23"/>
                <w:color w:val="auto"/>
              </w:rPr>
            </w:pPr>
          </w:p>
        </w:tc>
        <w:tc>
          <w:tcPr>
            <w:tcW w:w="98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8,248</w:t>
            </w:r>
          </w:p>
        </w:tc>
        <w:tc>
          <w:tcPr>
            <w:tcW w:w="20" w:type="dxa"/>
            <w:vAlign w:val="bottom"/>
            <w:shd w:val="clear" w:color="auto" w:fill="D4EFF3"/>
          </w:tcPr>
          <w:p>
            <w:pPr>
              <w:spacing w:after="0"/>
              <w:rPr>
                <w:sz w:val="23"/>
                <w:szCs w:val="23"/>
                <w:color w:val="auto"/>
              </w:rPr>
            </w:pPr>
          </w:p>
        </w:tc>
        <w:tc>
          <w:tcPr>
            <w:tcW w:w="120" w:type="dxa"/>
            <w:vAlign w:val="bottom"/>
            <w:shd w:val="clear" w:color="auto" w:fill="D4EFF3"/>
          </w:tcPr>
          <w:p>
            <w:pPr>
              <w:spacing w:after="0"/>
              <w:rPr>
                <w:sz w:val="23"/>
                <w:szCs w:val="23"/>
                <w:color w:val="auto"/>
              </w:rPr>
            </w:pPr>
          </w:p>
        </w:tc>
        <w:tc>
          <w:tcPr>
            <w:tcW w:w="32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4,863</w:t>
            </w:r>
          </w:p>
        </w:tc>
        <w:tc>
          <w:tcPr>
            <w:tcW w:w="140" w:type="dxa"/>
            <w:vAlign w:val="bottom"/>
            <w:shd w:val="clear" w:color="auto" w:fill="D4EFF3"/>
          </w:tcPr>
          <w:p>
            <w:pPr>
              <w:spacing w:after="0"/>
              <w:rPr>
                <w:sz w:val="23"/>
                <w:szCs w:val="23"/>
                <w:color w:val="auto"/>
              </w:rPr>
            </w:pPr>
          </w:p>
        </w:tc>
        <w:tc>
          <w:tcPr>
            <w:tcW w:w="300" w:type="dxa"/>
            <w:vAlign w:val="bottom"/>
            <w:shd w:val="clear" w:color="auto" w:fill="D4EFF3"/>
          </w:tcPr>
          <w:p>
            <w:pPr>
              <w:spacing w:after="0"/>
              <w:rPr>
                <w:sz w:val="23"/>
                <w:szCs w:val="23"/>
                <w:color w:val="auto"/>
              </w:rPr>
            </w:pPr>
          </w:p>
        </w:tc>
        <w:tc>
          <w:tcPr>
            <w:tcW w:w="1040" w:type="dxa"/>
            <w:vAlign w:val="bottom"/>
            <w:shd w:val="clear" w:color="auto" w:fill="D4EFF3"/>
          </w:tcPr>
          <w:p>
            <w:pPr>
              <w:jc w:val="right"/>
              <w:ind w:right="5"/>
              <w:spacing w:after="0"/>
              <w:rPr>
                <w:sz w:val="20"/>
                <w:szCs w:val="20"/>
                <w:color w:val="auto"/>
              </w:rPr>
            </w:pPr>
            <w:r>
              <w:rPr>
                <w:rFonts w:ascii="Arial" w:cs="Arial" w:eastAsia="Arial" w:hAnsi="Arial"/>
                <w:sz w:val="19"/>
                <w:szCs w:val="19"/>
                <w:color w:val="auto"/>
              </w:rPr>
              <w:t>3,385</w:t>
            </w:r>
          </w:p>
        </w:tc>
      </w:tr>
      <w:tr>
        <w:trPr>
          <w:trHeight w:val="239"/>
        </w:trPr>
        <w:tc>
          <w:tcPr>
            <w:tcW w:w="4080" w:type="dxa"/>
            <w:vAlign w:val="bottom"/>
          </w:tcPr>
          <w:p>
            <w:pPr>
              <w:ind w:left="20"/>
              <w:spacing w:after="0"/>
              <w:rPr>
                <w:sz w:val="20"/>
                <w:szCs w:val="20"/>
                <w:color w:val="auto"/>
              </w:rPr>
            </w:pPr>
            <w:r>
              <w:rPr>
                <w:rFonts w:ascii="Arial" w:cs="Arial" w:eastAsia="Arial" w:hAnsi="Arial"/>
                <w:sz w:val="19"/>
                <w:szCs w:val="19"/>
                <w:color w:val="auto"/>
              </w:rPr>
              <w:t>CTX-8371</w:t>
            </w:r>
          </w:p>
        </w:tc>
        <w:tc>
          <w:tcPr>
            <w:tcW w:w="360" w:type="dxa"/>
            <w:vAlign w:val="bottom"/>
          </w:tcPr>
          <w:p>
            <w:pPr>
              <w:spacing w:after="0"/>
              <w:rPr>
                <w:sz w:val="20"/>
                <w:szCs w:val="20"/>
                <w:color w:val="auto"/>
              </w:rPr>
            </w:pPr>
          </w:p>
        </w:tc>
        <w:tc>
          <w:tcPr>
            <w:tcW w:w="980" w:type="dxa"/>
            <w:vAlign w:val="bottom"/>
          </w:tcPr>
          <w:p>
            <w:pPr>
              <w:jc w:val="right"/>
              <w:ind w:right="7"/>
              <w:spacing w:after="0"/>
              <w:rPr>
                <w:sz w:val="20"/>
                <w:szCs w:val="20"/>
                <w:color w:val="auto"/>
              </w:rPr>
            </w:pPr>
            <w:r>
              <w:rPr>
                <w:rFonts w:ascii="Arial" w:cs="Arial" w:eastAsia="Arial" w:hAnsi="Arial"/>
                <w:sz w:val="19"/>
                <w:szCs w:val="19"/>
                <w:color w:val="auto"/>
              </w:rPr>
              <w:t>4,781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9"/>
                <w:szCs w:val="19"/>
                <w:color w:val="auto"/>
              </w:rPr>
              <w:t>3,473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
              <w:spacing w:after="0"/>
              <w:rPr>
                <w:sz w:val="20"/>
                <w:szCs w:val="20"/>
                <w:color w:val="auto"/>
              </w:rPr>
            </w:pPr>
            <w:r>
              <w:rPr>
                <w:rFonts w:ascii="Arial" w:cs="Arial" w:eastAsia="Arial" w:hAnsi="Arial"/>
                <w:sz w:val="19"/>
                <w:szCs w:val="19"/>
                <w:color w:val="auto"/>
              </w:rPr>
              <w:t>1,308</w:t>
            </w:r>
          </w:p>
        </w:tc>
      </w:tr>
      <w:tr>
        <w:trPr>
          <w:trHeight w:val="268"/>
        </w:trPr>
        <w:tc>
          <w:tcPr>
            <w:tcW w:w="4080" w:type="dxa"/>
            <w:vAlign w:val="bottom"/>
            <w:shd w:val="clear" w:color="auto" w:fill="D4EFF3"/>
          </w:tcPr>
          <w:p>
            <w:pPr>
              <w:ind w:left="20"/>
              <w:spacing w:after="0"/>
              <w:rPr>
                <w:sz w:val="20"/>
                <w:szCs w:val="20"/>
                <w:color w:val="auto"/>
              </w:rPr>
            </w:pPr>
            <w:r>
              <w:rPr>
                <w:rFonts w:ascii="Arial" w:cs="Arial" w:eastAsia="Arial" w:hAnsi="Arial"/>
                <w:sz w:val="19"/>
                <w:szCs w:val="19"/>
                <w:color w:val="auto"/>
              </w:rPr>
              <w:t>CTX-10726</w:t>
            </w:r>
          </w:p>
        </w:tc>
        <w:tc>
          <w:tcPr>
            <w:tcW w:w="360" w:type="dxa"/>
            <w:vAlign w:val="bottom"/>
            <w:shd w:val="clear" w:color="auto" w:fill="D4EFF3"/>
          </w:tcPr>
          <w:p>
            <w:pPr>
              <w:spacing w:after="0"/>
              <w:rPr>
                <w:sz w:val="23"/>
                <w:szCs w:val="23"/>
                <w:color w:val="auto"/>
              </w:rPr>
            </w:pPr>
          </w:p>
        </w:tc>
        <w:tc>
          <w:tcPr>
            <w:tcW w:w="98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10,216</w:t>
            </w:r>
          </w:p>
        </w:tc>
        <w:tc>
          <w:tcPr>
            <w:tcW w:w="20" w:type="dxa"/>
            <w:vAlign w:val="bottom"/>
            <w:shd w:val="clear" w:color="auto" w:fill="D4EFF3"/>
          </w:tcPr>
          <w:p>
            <w:pPr>
              <w:spacing w:after="0"/>
              <w:rPr>
                <w:sz w:val="23"/>
                <w:szCs w:val="23"/>
                <w:color w:val="auto"/>
              </w:rPr>
            </w:pPr>
          </w:p>
        </w:tc>
        <w:tc>
          <w:tcPr>
            <w:tcW w:w="120" w:type="dxa"/>
            <w:vAlign w:val="bottom"/>
            <w:shd w:val="clear" w:color="auto" w:fill="D4EFF3"/>
          </w:tcPr>
          <w:p>
            <w:pPr>
              <w:spacing w:after="0"/>
              <w:rPr>
                <w:sz w:val="23"/>
                <w:szCs w:val="23"/>
                <w:color w:val="auto"/>
              </w:rPr>
            </w:pPr>
          </w:p>
        </w:tc>
        <w:tc>
          <w:tcPr>
            <w:tcW w:w="32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w:t>
            </w:r>
          </w:p>
        </w:tc>
        <w:tc>
          <w:tcPr>
            <w:tcW w:w="140" w:type="dxa"/>
            <w:vAlign w:val="bottom"/>
            <w:shd w:val="clear" w:color="auto" w:fill="D4EFF3"/>
          </w:tcPr>
          <w:p>
            <w:pPr>
              <w:spacing w:after="0"/>
              <w:rPr>
                <w:sz w:val="23"/>
                <w:szCs w:val="23"/>
                <w:color w:val="auto"/>
              </w:rPr>
            </w:pPr>
          </w:p>
        </w:tc>
        <w:tc>
          <w:tcPr>
            <w:tcW w:w="300" w:type="dxa"/>
            <w:vAlign w:val="bottom"/>
            <w:shd w:val="clear" w:color="auto" w:fill="D4EFF3"/>
          </w:tcPr>
          <w:p>
            <w:pPr>
              <w:spacing w:after="0"/>
              <w:rPr>
                <w:sz w:val="23"/>
                <w:szCs w:val="23"/>
                <w:color w:val="auto"/>
              </w:rPr>
            </w:pPr>
          </w:p>
        </w:tc>
        <w:tc>
          <w:tcPr>
            <w:tcW w:w="1040" w:type="dxa"/>
            <w:vAlign w:val="bottom"/>
            <w:shd w:val="clear" w:color="auto" w:fill="D4EFF3"/>
          </w:tcPr>
          <w:p>
            <w:pPr>
              <w:jc w:val="right"/>
              <w:ind w:right="5"/>
              <w:spacing w:after="0"/>
              <w:rPr>
                <w:sz w:val="20"/>
                <w:szCs w:val="20"/>
                <w:color w:val="auto"/>
              </w:rPr>
            </w:pPr>
            <w:r>
              <w:rPr>
                <w:rFonts w:ascii="Arial" w:cs="Arial" w:eastAsia="Arial" w:hAnsi="Arial"/>
                <w:sz w:val="19"/>
                <w:szCs w:val="19"/>
                <w:color w:val="auto"/>
              </w:rPr>
              <w:t>10,216</w:t>
            </w:r>
          </w:p>
        </w:tc>
      </w:tr>
      <w:tr>
        <w:trPr>
          <w:trHeight w:val="239"/>
        </w:trPr>
        <w:tc>
          <w:tcPr>
            <w:tcW w:w="4080" w:type="dxa"/>
            <w:vAlign w:val="bottom"/>
            <w:tcBorders>
              <w:bottom w:val="single" w:sz="8" w:color="D4EFF3"/>
            </w:tcBorders>
          </w:tcPr>
          <w:p>
            <w:pPr>
              <w:ind w:left="20"/>
              <w:spacing w:after="0"/>
              <w:rPr>
                <w:sz w:val="20"/>
                <w:szCs w:val="20"/>
                <w:color w:val="auto"/>
              </w:rPr>
            </w:pPr>
            <w:r>
              <w:rPr>
                <w:rFonts w:ascii="Arial" w:cs="Arial" w:eastAsia="Arial" w:hAnsi="Arial"/>
                <w:sz w:val="19"/>
                <w:szCs w:val="19"/>
                <w:color w:val="auto"/>
              </w:rPr>
              <w:t>Other research and development expenses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7,465</w:t>
            </w:r>
          </w:p>
        </w:tc>
        <w:tc>
          <w:tcPr>
            <w:tcW w:w="20" w:type="dxa"/>
            <w:vAlign w:val="bottom"/>
            <w:tcBorders>
              <w:bottom w:val="single" w:sz="8" w:color="D4EFF3"/>
            </w:tcBorders>
          </w:tcPr>
          <w:p>
            <w:pPr>
              <w:spacing w:after="0"/>
              <w:rPr>
                <w:sz w:val="20"/>
                <w:szCs w:val="20"/>
                <w:color w:val="auto"/>
              </w:rPr>
            </w:pPr>
          </w:p>
        </w:tc>
        <w:tc>
          <w:tcPr>
            <w:tcW w:w="120" w:type="dxa"/>
            <w:vAlign w:val="bottom"/>
            <w:tcBorders>
              <w:bottom w:val="single" w:sz="8" w:color="D4EFF3"/>
            </w:tcBorders>
          </w:tcPr>
          <w:p>
            <w:pPr>
              <w:spacing w:after="0"/>
              <w:rPr>
                <w:sz w:val="20"/>
                <w:szCs w:val="20"/>
                <w:color w:val="auto"/>
              </w:rPr>
            </w:pPr>
          </w:p>
        </w:tc>
        <w:tc>
          <w:tcPr>
            <w:tcW w:w="320" w:type="dxa"/>
            <w:vAlign w:val="bottom"/>
            <w:tcBorders>
              <w:bottom w:val="single" w:sz="8" w:color="D4EFF3"/>
            </w:tcBorders>
          </w:tcPr>
          <w:p>
            <w:pPr>
              <w:spacing w:after="0"/>
              <w:rPr>
                <w:sz w:val="20"/>
                <w:szCs w:val="20"/>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6,068</w:t>
            </w:r>
          </w:p>
        </w:tc>
        <w:tc>
          <w:tcPr>
            <w:tcW w:w="140" w:type="dxa"/>
            <w:vAlign w:val="bottom"/>
            <w:tcBorders>
              <w:bottom w:val="single" w:sz="8" w:color="D4EFF3"/>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1,397</w:t>
            </w:r>
          </w:p>
        </w:tc>
      </w:tr>
      <w:tr>
        <w:trPr>
          <w:trHeight w:val="338"/>
        </w:trPr>
        <w:tc>
          <w:tcPr>
            <w:tcW w:w="408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9"/>
                <w:szCs w:val="19"/>
                <w:color w:val="auto"/>
              </w:rPr>
              <w:t>Total research and development expenses</w:t>
            </w:r>
          </w:p>
        </w:tc>
        <w:tc>
          <w:tcPr>
            <w:tcW w:w="360" w:type="dxa"/>
            <w:vAlign w:val="bottom"/>
            <w:tcBorders>
              <w:bottom w:val="single" w:sz="8" w:color="auto"/>
            </w:tcBorders>
            <w:shd w:val="clear" w:color="auto" w:fill="D4EFF3"/>
          </w:tcPr>
          <w:p>
            <w:pPr>
              <w:jc w:val="right"/>
              <w:ind w:right="23"/>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55,969</w:t>
            </w:r>
          </w:p>
        </w:tc>
        <w:tc>
          <w:tcPr>
            <w:tcW w:w="20" w:type="dxa"/>
            <w:vAlign w:val="bottom"/>
            <w:tcBorders>
              <w:bottom w:val="single" w:sz="8" w:color="auto"/>
            </w:tcBorders>
            <w:shd w:val="clear" w:color="auto" w:fill="D4EFF3"/>
          </w:tcPr>
          <w:p>
            <w:pPr>
              <w:spacing w:after="0"/>
              <w:rPr>
                <w:sz w:val="24"/>
                <w:szCs w:val="24"/>
                <w:color w:val="auto"/>
              </w:rPr>
            </w:pPr>
          </w:p>
        </w:tc>
        <w:tc>
          <w:tcPr>
            <w:tcW w:w="120" w:type="dxa"/>
            <w:vAlign w:val="bottom"/>
            <w:tcBorders>
              <w:bottom w:val="single" w:sz="8" w:color="D4EFF3"/>
            </w:tcBorders>
            <w:shd w:val="clear" w:color="auto" w:fill="D4EFF3"/>
          </w:tcPr>
          <w:p>
            <w:pPr>
              <w:spacing w:after="0"/>
              <w:rPr>
                <w:sz w:val="24"/>
                <w:szCs w:val="24"/>
                <w:color w:val="auto"/>
              </w:rPr>
            </w:pPr>
          </w:p>
        </w:tc>
        <w:tc>
          <w:tcPr>
            <w:tcW w:w="32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42,342</w:t>
            </w:r>
          </w:p>
        </w:tc>
        <w:tc>
          <w:tcPr>
            <w:tcW w:w="140" w:type="dxa"/>
            <w:vAlign w:val="bottom"/>
            <w:tcBorders>
              <w:bottom w:val="single" w:sz="8" w:color="D4EFF3"/>
            </w:tcBorders>
            <w:shd w:val="clear" w:color="auto" w:fill="D4EFF3"/>
          </w:tcPr>
          <w:p>
            <w:pPr>
              <w:spacing w:after="0"/>
              <w:rPr>
                <w:sz w:val="24"/>
                <w:szCs w:val="24"/>
                <w:color w:val="auto"/>
              </w:rPr>
            </w:pPr>
          </w:p>
        </w:tc>
        <w:tc>
          <w:tcPr>
            <w:tcW w:w="3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shd w:val="clear" w:color="auto" w:fill="D4EFF3"/>
          </w:tcPr>
          <w:p>
            <w:pPr>
              <w:jc w:val="right"/>
              <w:ind w:right="5"/>
              <w:spacing w:after="0"/>
              <w:rPr>
                <w:sz w:val="20"/>
                <w:szCs w:val="20"/>
                <w:color w:val="auto"/>
              </w:rPr>
            </w:pPr>
            <w:r>
              <w:rPr>
                <w:rFonts w:ascii="Arial" w:cs="Arial" w:eastAsia="Arial" w:hAnsi="Arial"/>
                <w:sz w:val="19"/>
                <w:szCs w:val="19"/>
                <w:color w:val="auto"/>
              </w:rPr>
              <w:t>13,627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3679825</wp:posOffset>
                </wp:positionH>
                <wp:positionV relativeFrom="paragraph">
                  <wp:posOffset>-1160780</wp:posOffset>
                </wp:positionV>
                <wp:extent cx="0" cy="158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75pt,-91.3999pt" to="289.75pt,-90.1499pt" o:allowincell="f" strokecolor="#000000" strokeweight="0.0011pt"/>
            </w:pict>
          </mc:Fallback>
        </mc:AlternateContent>
        <mc:AlternateContent>
          <mc:Choice Requires="wps">
            <w:drawing>
              <wp:anchor simplePos="0" relativeHeight="251657728" behindDoc="1" locked="0" layoutInCell="0" allowOverlap="1">
                <wp:simplePos x="0" y="0"/>
                <wp:positionH relativeFrom="column">
                  <wp:posOffset>4620895</wp:posOffset>
                </wp:positionH>
                <wp:positionV relativeFrom="paragraph">
                  <wp:posOffset>-1160780</wp:posOffset>
                </wp:positionV>
                <wp:extent cx="0" cy="1587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2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85pt,-91.3999pt" to="363.85pt,-90.1499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3679825</wp:posOffset>
                </wp:positionH>
                <wp:positionV relativeFrom="paragraph">
                  <wp:posOffset>-213995</wp:posOffset>
                </wp:positionV>
                <wp:extent cx="0" cy="152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14">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75pt,-16.8499pt" to="289.75pt,-15.6499pt" o:allowincell="f" strokecolor="#000000" strokeweight="0.0011pt"/>
            </w:pict>
          </mc:Fallback>
        </mc:AlternateContent>
        <mc:AlternateContent>
          <mc:Choice Requires="wps">
            <w:drawing>
              <wp:anchor simplePos="0" relativeHeight="251657728" behindDoc="1" locked="0" layoutInCell="0" allowOverlap="1">
                <wp:simplePos x="0" y="0"/>
                <wp:positionH relativeFrom="column">
                  <wp:posOffset>4620895</wp:posOffset>
                </wp:positionH>
                <wp:positionV relativeFrom="paragraph">
                  <wp:posOffset>-213995</wp:posOffset>
                </wp:positionV>
                <wp:extent cx="0" cy="1524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23">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85pt,-16.8499pt" to="363.85pt,-15.6499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3679825</wp:posOffset>
                </wp:positionH>
                <wp:positionV relativeFrom="paragraph">
                  <wp:posOffset>-15240</wp:posOffset>
                </wp:positionV>
                <wp:extent cx="0" cy="1524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1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75pt,-1.1999pt" to="289.75pt,0pt" o:allowincell="f" strokecolor="#000000" strokeweight="0.0011pt"/>
            </w:pict>
          </mc:Fallback>
        </mc:AlternateContent>
        <mc:AlternateContent>
          <mc:Choice Requires="wps">
            <w:drawing>
              <wp:anchor simplePos="0" relativeHeight="251657728" behindDoc="1" locked="0" layoutInCell="0" allowOverlap="1">
                <wp:simplePos x="0" y="0"/>
                <wp:positionH relativeFrom="column">
                  <wp:posOffset>4620895</wp:posOffset>
                </wp:positionH>
                <wp:positionV relativeFrom="paragraph">
                  <wp:posOffset>-34290</wp:posOffset>
                </wp:positionV>
                <wp:extent cx="0" cy="1587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23">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85pt,-2.6999pt" to="363.85pt,-1.4499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4620895</wp:posOffset>
                </wp:positionH>
                <wp:positionV relativeFrom="paragraph">
                  <wp:posOffset>-15240</wp:posOffset>
                </wp:positionV>
                <wp:extent cx="0" cy="152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23">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85pt,-1.1999pt" to="363.85pt,0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-1160780</wp:posOffset>
                </wp:positionV>
                <wp:extent cx="0" cy="1587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57">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91.3999pt" to="438pt,-90.1499pt" o:allowincell="f" strokecolor="#000000" strokeweight="0.0045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-213995</wp:posOffset>
                </wp:positionV>
                <wp:extent cx="0" cy="152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57">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16.8499pt" to="438pt,-15.6499pt" o:allowincell="f" strokecolor="#000000" strokeweight="0.0045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-34290</wp:posOffset>
                </wp:positionV>
                <wp:extent cx="0" cy="158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5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2.6999pt" to="438pt,-1.4499pt" o:allowincell="f" strokecolor="#000000" strokeweight="0.0045pt"/>
            </w:pict>
          </mc:Fallback>
        </mc:AlternateContent>
        <mc:AlternateContent>
          <mc:Choice Requires="wps">
            <w:drawing>
              <wp:anchor simplePos="0" relativeHeight="251657728" behindDoc="1" locked="0" layoutInCell="0" allowOverlap="1">
                <wp:simplePos x="0" y="0"/>
                <wp:positionH relativeFrom="column">
                  <wp:posOffset>5562600</wp:posOffset>
                </wp:positionH>
                <wp:positionV relativeFrom="paragraph">
                  <wp:posOffset>-15240</wp:posOffset>
                </wp:positionV>
                <wp:extent cx="0" cy="1524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57">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pt,-1.1999pt" to="438pt,0pt" o:allowincell="f" strokecolor="#000000" strokeweight="0.0045pt"/>
            </w:pict>
          </mc:Fallback>
        </mc:AlternateConten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General and administrative expenses</w:t>
      </w:r>
    </w:p>
    <w:p>
      <w:pPr>
        <w:spacing w:after="0" w:line="232" w:lineRule="exact"/>
        <w:rPr>
          <w:sz w:val="20"/>
          <w:szCs w:val="20"/>
          <w:color w:val="auto"/>
        </w:rPr>
      </w:pPr>
    </w:p>
    <w:p>
      <w:pPr>
        <w:ind w:right="80" w:firstLine="490"/>
        <w:spacing w:after="0" w:line="250" w:lineRule="auto"/>
        <w:rPr>
          <w:sz w:val="20"/>
          <w:szCs w:val="20"/>
          <w:color w:val="auto"/>
        </w:rPr>
      </w:pPr>
      <w:r>
        <w:rPr>
          <w:rFonts w:ascii="Arial" w:cs="Arial" w:eastAsia="Arial" w:hAnsi="Arial"/>
          <w:sz w:val="20"/>
          <w:szCs w:val="20"/>
          <w:color w:val="auto"/>
        </w:rPr>
        <w:t>General and administrative expenses increased by $1.7 million from $15.1 million in 2024 to $16.9 million in 2025. The increase was primarily attributable to commercialization expenses of approximately $0.7 million and $0.5 million of advisory fees. We anticipate that our general and administrative expenses will increase in the future as we expand our commercial operations and to support our growing research and development efforts.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2240" w:h="15840" w:orient="portrait"/>
          <w:cols w:equalWidth="0" w:num="1">
            <w:col w:w="9360"/>
          </w:cols>
          <w:pgMar w:left="1440" w:top="984" w:right="1440" w:bottom="161" w:gutter="0" w:footer="0" w:header="0"/>
        </w:sectPr>
      </w:pPr>
    </w:p>
    <w:bookmarkStart w:id="99" w:name="page100"/>
    <w:bookmarkEnd w:id="99"/>
    <w:p>
      <w:pPr>
        <w:ind w:left="240"/>
        <w:spacing w:after="0"/>
        <w:rPr>
          <w:sz w:val="20"/>
          <w:szCs w:val="20"/>
          <w:color w:val="auto"/>
        </w:rPr>
      </w:pPr>
      <w:r>
        <w:rPr>
          <w:rFonts w:ascii="Arial" w:cs="Arial" w:eastAsia="Arial" w:hAnsi="Arial"/>
          <w:sz w:val="20"/>
          <w:szCs w:val="20"/>
          <w:i w:val="1"/>
          <w:iCs w:val="1"/>
          <w:color w:val="auto"/>
        </w:rPr>
        <w:t>Other income</w:t>
      </w:r>
    </w:p>
    <w:p>
      <w:pPr>
        <w:spacing w:after="0" w:line="232" w:lineRule="exact"/>
        <w:rPr>
          <w:sz w:val="20"/>
          <w:szCs w:val="20"/>
          <w:color w:val="auto"/>
        </w:rPr>
      </w:pPr>
    </w:p>
    <w:p>
      <w:pPr>
        <w:ind w:right="220" w:firstLine="490"/>
        <w:spacing w:after="0" w:line="280" w:lineRule="auto"/>
        <w:rPr>
          <w:sz w:val="20"/>
          <w:szCs w:val="20"/>
          <w:color w:val="auto"/>
        </w:rPr>
      </w:pPr>
      <w:r>
        <w:rPr>
          <w:rFonts w:ascii="Arial" w:cs="Arial" w:eastAsia="Arial" w:hAnsi="Arial"/>
          <w:sz w:val="20"/>
          <w:szCs w:val="20"/>
          <w:color w:val="auto"/>
        </w:rPr>
        <w:t>Other income consists only of interest income which decreased by $0.9 million from $7.3 million in 2024 to $6.4 million in 2025.</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Income tax expense</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did not have income tax expense in 2025 or 2024.</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4" w:lineRule="exact"/>
        <w:rPr>
          <w:sz w:val="20"/>
          <w:szCs w:val="20"/>
          <w:color w:val="auto"/>
        </w:rPr>
      </w:pPr>
    </w:p>
    <w:p>
      <w:pPr>
        <w:ind w:right="140" w:firstLine="490"/>
        <w:spacing w:after="0" w:line="250" w:lineRule="auto"/>
        <w:rPr>
          <w:sz w:val="20"/>
          <w:szCs w:val="20"/>
          <w:color w:val="auto"/>
        </w:rPr>
      </w:pPr>
      <w:r>
        <w:rPr>
          <w:rFonts w:ascii="Arial" w:cs="Arial" w:eastAsia="Arial" w:hAnsi="Arial"/>
          <w:sz w:val="20"/>
          <w:szCs w:val="20"/>
          <w:color w:val="auto"/>
        </w:rPr>
        <w:t>Since our inception, we have not generated any revenue from any product sales or any other sources, and we have incurred significant operating losses. We have not yet commercialized any products and we do not expect to generate revenue from sales of products for several years, if at all. We have funded our operations primarily with proceeds from multiple equity financings. As of December 31, 2025, we had cash, cash equivalents and marketable securities of $209 million.</w:t>
      </w:r>
    </w:p>
    <w:p>
      <w:pPr>
        <w:spacing w:after="0" w:line="192" w:lineRule="exact"/>
        <w:rPr>
          <w:sz w:val="20"/>
          <w:szCs w:val="20"/>
          <w:color w:val="auto"/>
        </w:rPr>
      </w:pPr>
    </w:p>
    <w:p>
      <w:pPr>
        <w:ind w:right="60" w:firstLine="490"/>
        <w:spacing w:after="0" w:line="248" w:lineRule="auto"/>
        <w:rPr>
          <w:sz w:val="20"/>
          <w:szCs w:val="20"/>
          <w:color w:val="auto"/>
        </w:rPr>
      </w:pPr>
      <w:r>
        <w:rPr>
          <w:rFonts w:ascii="Arial" w:cs="Arial" w:eastAsia="Arial" w:hAnsi="Arial"/>
          <w:sz w:val="20"/>
          <w:szCs w:val="20"/>
          <w:color w:val="auto"/>
        </w:rPr>
        <w:t>On July 9, 2021, we filed an S-3 registration statement which became effective July 20, 2021. Included in this registration statement was a shelf registration allowing us to sell securities up to $300 million. The Follow-On Public Offering was made pursuant to this registration statement. In addition, the S-3 registration statement included a sales agreement with B. Riley Securities, Inc., pursuant to which we could offer and sell shares of our common stock having an aggregate of up to $75 million. We terminated the sales agreement with B. Riley effective July 29, 2022.</w:t>
      </w:r>
    </w:p>
    <w:p>
      <w:pPr>
        <w:spacing w:after="0" w:line="194" w:lineRule="exact"/>
        <w:rPr>
          <w:sz w:val="20"/>
          <w:szCs w:val="20"/>
          <w:color w:val="auto"/>
        </w:rPr>
      </w:pPr>
    </w:p>
    <w:p>
      <w:pPr>
        <w:ind w:right="20" w:firstLine="489"/>
        <w:spacing w:after="0" w:line="234" w:lineRule="auto"/>
        <w:rPr>
          <w:sz w:val="20"/>
          <w:szCs w:val="20"/>
          <w:color w:val="auto"/>
        </w:rPr>
      </w:pPr>
      <w:r>
        <w:rPr>
          <w:rFonts w:ascii="Arial" w:cs="Arial" w:eastAsia="Arial" w:hAnsi="Arial"/>
          <w:sz w:val="20"/>
          <w:szCs w:val="20"/>
          <w:color w:val="auto"/>
        </w:rPr>
        <w:t>On August 1, 2022, we entered into an Open Market Sale Agreement</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with Jefferies LLC, pursuant to which we may offer and sell, from time to time at our sole discretion, shares of our common stock, which has since been terminated.</w:t>
      </w:r>
    </w:p>
    <w:p>
      <w:pPr>
        <w:spacing w:after="0" w:line="200" w:lineRule="exact"/>
        <w:rPr>
          <w:sz w:val="20"/>
          <w:szCs w:val="20"/>
          <w:color w:val="auto"/>
        </w:rPr>
      </w:pPr>
    </w:p>
    <w:p>
      <w:pPr>
        <w:ind w:right="300" w:firstLine="490"/>
        <w:spacing w:after="0" w:line="282" w:lineRule="auto"/>
        <w:rPr>
          <w:sz w:val="20"/>
          <w:szCs w:val="20"/>
          <w:color w:val="auto"/>
        </w:rPr>
      </w:pPr>
      <w:r>
        <w:rPr>
          <w:rFonts w:ascii="Arial" w:cs="Arial" w:eastAsia="Arial" w:hAnsi="Arial"/>
          <w:sz w:val="20"/>
          <w:szCs w:val="20"/>
          <w:color w:val="auto"/>
        </w:rPr>
        <w:t>On December 2, 2022, we filed an S-3 registration statement which was declared effective by the SEC on January 20, 2023, for the shares issued through the PIPE offering.</w:t>
      </w:r>
    </w:p>
    <w:p>
      <w:pPr>
        <w:spacing w:after="0" w:line="160" w:lineRule="exact"/>
        <w:rPr>
          <w:sz w:val="20"/>
          <w:szCs w:val="20"/>
          <w:color w:val="auto"/>
        </w:rPr>
      </w:pPr>
    </w:p>
    <w:p>
      <w:pPr>
        <w:ind w:right="20" w:firstLine="490"/>
        <w:spacing w:after="0" w:line="255" w:lineRule="auto"/>
        <w:rPr>
          <w:sz w:val="20"/>
          <w:szCs w:val="20"/>
          <w:color w:val="auto"/>
        </w:rPr>
      </w:pPr>
      <w:r>
        <w:rPr>
          <w:rFonts w:ascii="Arial" w:cs="Arial" w:eastAsia="Arial" w:hAnsi="Arial"/>
          <w:sz w:val="20"/>
          <w:szCs w:val="20"/>
          <w:color w:val="auto"/>
        </w:rPr>
        <w:t>On August 30, 2024, we filed an S-3 registration statement which was declared effective by the SEC on September 6, 2024. This registration statement includes (i) a base prospectus that covers the offering, issuance and sale by us of up to $300 million of our common stock, preferred stock, debt securities, warrants and/or units and (ii) a sale agreement prospectus supplement that covers the offer and sale, from time to time at our sole discretion, shares of our common stock having an aggregate offering price of up to $55 million pursuant to our Open Market Sale Agreement</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with Jefferies LLC.</w:t>
      </w:r>
    </w:p>
    <w:p>
      <w:pPr>
        <w:spacing w:after="0" w:line="93" w:lineRule="exact"/>
        <w:rPr>
          <w:sz w:val="20"/>
          <w:szCs w:val="20"/>
          <w:color w:val="auto"/>
        </w:rPr>
      </w:pPr>
    </w:p>
    <w:p>
      <w:pPr>
        <w:ind w:right="180" w:firstLine="490"/>
        <w:spacing w:after="0" w:line="237" w:lineRule="auto"/>
        <w:rPr>
          <w:sz w:val="20"/>
          <w:szCs w:val="20"/>
          <w:color w:val="auto"/>
        </w:rPr>
      </w:pPr>
      <w:r>
        <w:rPr>
          <w:rFonts w:ascii="Arial" w:cs="Arial" w:eastAsia="Arial" w:hAnsi="Arial"/>
          <w:sz w:val="20"/>
          <w:szCs w:val="20"/>
          <w:color w:val="auto"/>
        </w:rPr>
        <w:t>On December 30, 2025, we filed an S-3 registration statement which was declared effective by the SEC on January 7, 2026. This registration statement includes (i) a base prospectus that covers the offering, issuance and sale by us of up to $400 million of our common stock, preferred stock, debt securities, warrants and/or units and (ii) a sale agreement prospectus supplement that covers the offer and sale, from time to time at our sole discretion, shares of our common stock having an aggregate offering price of up to $100 million pursuant to our Sales Agreement with Leerink Partners LLC and Cantor Fitzgerald &amp; Co. The prior Open Market Sale Agreement</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with Jefferies LLC was terminated as part of this filing.</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Funding Requirements</w:t>
      </w:r>
    </w:p>
    <w:p>
      <w:pPr>
        <w:spacing w:after="0" w:line="234" w:lineRule="exact"/>
        <w:rPr>
          <w:sz w:val="20"/>
          <w:szCs w:val="20"/>
          <w:color w:val="auto"/>
        </w:rPr>
      </w:pPr>
    </w:p>
    <w:p>
      <w:pPr>
        <w:ind w:right="440" w:firstLine="490"/>
        <w:spacing w:after="0" w:line="251" w:lineRule="auto"/>
        <w:rPr>
          <w:sz w:val="20"/>
          <w:szCs w:val="20"/>
          <w:color w:val="auto"/>
        </w:rPr>
      </w:pPr>
      <w:r>
        <w:rPr>
          <w:rFonts w:ascii="Arial" w:cs="Arial" w:eastAsia="Arial" w:hAnsi="Arial"/>
          <w:sz w:val="20"/>
          <w:szCs w:val="20"/>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 Because of the numerous risks and uncertainties associated with research, development and commercialization of pharmaceutical products, we are unable to estimate the exact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98</w:t>
      </w:r>
    </w:p>
    <w:p>
      <w:pPr>
        <w:sectPr>
          <w:pgSz w:w="12240" w:h="15840" w:orient="portrait"/>
          <w:cols w:equalWidth="0" w:num="1">
            <w:col w:w="9360"/>
          </w:cols>
          <w:pgMar w:left="1440" w:top="996" w:right="1440" w:bottom="161" w:gutter="0" w:footer="0" w:header="0"/>
        </w:sectPr>
      </w:pPr>
    </w:p>
    <w:bookmarkStart w:id="100" w:name="page101"/>
    <w:bookmarkEnd w:id="100"/>
    <w:p>
      <w:pPr>
        <w:ind w:right="560"/>
        <w:spacing w:after="0" w:line="282" w:lineRule="auto"/>
        <w:rPr>
          <w:sz w:val="20"/>
          <w:szCs w:val="20"/>
          <w:color w:val="auto"/>
        </w:rPr>
      </w:pPr>
      <w:r>
        <w:rPr>
          <w:rFonts w:ascii="Arial" w:cs="Arial" w:eastAsia="Arial" w:hAnsi="Arial"/>
          <w:sz w:val="20"/>
          <w:szCs w:val="20"/>
          <w:color w:val="auto"/>
        </w:rPr>
        <w:t>amount of our operating capital requirements. Our future funding requirements will depend on many factors, including, but not limited to:</w:t>
      </w:r>
    </w:p>
    <w:p>
      <w:pPr>
        <w:spacing w:after="0" w:line="172" w:lineRule="exact"/>
        <w:rPr>
          <w:sz w:val="20"/>
          <w:szCs w:val="20"/>
          <w:color w:val="auto"/>
        </w:rPr>
      </w:pPr>
    </w:p>
    <w:p>
      <w:pPr>
        <w:ind w:left="980" w:right="620" w:hanging="490"/>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scope, timing, progress and results of discovery, preclinical development, laboratory testing and clinical trials for our product candidates;</w:t>
      </w:r>
    </w:p>
    <w:p>
      <w:pPr>
        <w:spacing w:after="0" w:line="172" w:lineRule="exact"/>
        <w:rPr>
          <w:rFonts w:ascii="Arial" w:cs="Arial" w:eastAsia="Arial" w:hAnsi="Arial"/>
          <w:sz w:val="20"/>
          <w:szCs w:val="20"/>
          <w:color w:val="auto"/>
        </w:rPr>
      </w:pPr>
    </w:p>
    <w:p>
      <w:pPr>
        <w:ind w:left="980" w:right="560" w:hanging="490"/>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costs of manufacturing our product candidates for clinical trials and in preparation for marketing approval and commercialization;</w:t>
      </w:r>
    </w:p>
    <w:p>
      <w:pPr>
        <w:spacing w:after="0" w:line="172" w:lineRule="exact"/>
        <w:rPr>
          <w:rFonts w:ascii="Arial" w:cs="Arial" w:eastAsia="Arial" w:hAnsi="Arial"/>
          <w:sz w:val="20"/>
          <w:szCs w:val="20"/>
          <w:color w:val="auto"/>
        </w:rPr>
      </w:pPr>
    </w:p>
    <w:p>
      <w:pPr>
        <w:ind w:left="980" w:right="420" w:hanging="490"/>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extent to which we enter into collaborations or other arrangements with additional third parties in order to further develop our product candidates;</w:t>
      </w:r>
    </w:p>
    <w:p>
      <w:pPr>
        <w:spacing w:after="0" w:line="172" w:lineRule="exact"/>
        <w:rPr>
          <w:rFonts w:ascii="Arial" w:cs="Arial" w:eastAsia="Arial" w:hAnsi="Arial"/>
          <w:sz w:val="20"/>
          <w:szCs w:val="20"/>
          <w:color w:val="auto"/>
        </w:rPr>
      </w:pPr>
    </w:p>
    <w:p>
      <w:pPr>
        <w:ind w:left="980" w:right="340" w:hanging="490"/>
        <w:spacing w:after="0" w:line="285"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costs of preparing, filing and prosecuting patent applications, maintaining and enforcing our intellectual property rights and defending intellectual property-related claims;</w:t>
      </w:r>
    </w:p>
    <w:p>
      <w:pPr>
        <w:spacing w:after="0" w:line="169" w:lineRule="exact"/>
        <w:rPr>
          <w:rFonts w:ascii="Arial" w:cs="Arial" w:eastAsia="Arial" w:hAnsi="Arial"/>
          <w:sz w:val="20"/>
          <w:szCs w:val="20"/>
          <w:color w:val="auto"/>
        </w:rPr>
      </w:pPr>
    </w:p>
    <w:p>
      <w:pPr>
        <w:ind w:left="980" w:right="60" w:hanging="490"/>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costs and fees associated with the discovery, acquisition or in-license of additional product candidates or technologies;</w:t>
      </w:r>
    </w:p>
    <w:p>
      <w:pPr>
        <w:spacing w:after="0" w:line="172" w:lineRule="exact"/>
        <w:rPr>
          <w:rFonts w:ascii="Arial" w:cs="Arial" w:eastAsia="Arial" w:hAnsi="Arial"/>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our ability to establish additional collaborations on favorable terms, if at all;</w:t>
      </w:r>
    </w:p>
    <w:p>
      <w:pPr>
        <w:spacing w:after="0" w:line="252" w:lineRule="exact"/>
        <w:rPr>
          <w:rFonts w:ascii="Arial" w:cs="Arial" w:eastAsia="Arial" w:hAnsi="Arial"/>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costs required to scale up our clinical, regulatory and manufacturing capabilities;</w:t>
      </w:r>
    </w:p>
    <w:p>
      <w:pPr>
        <w:spacing w:after="0" w:line="254" w:lineRule="exact"/>
        <w:rPr>
          <w:rFonts w:ascii="Arial" w:cs="Arial" w:eastAsia="Arial" w:hAnsi="Arial"/>
          <w:sz w:val="20"/>
          <w:szCs w:val="20"/>
          <w:color w:val="auto"/>
        </w:rPr>
      </w:pPr>
    </w:p>
    <w:p>
      <w:pPr>
        <w:ind w:left="980" w:right="140" w:hanging="490"/>
        <w:spacing w:after="0" w:line="261"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costs of future commercialization activities, if any, including establishing sales, marketing, manufacturing and distribution capabilities, for any of our product candidates for which we receive marketing approval; and</w:t>
      </w:r>
    </w:p>
    <w:p>
      <w:pPr>
        <w:spacing w:after="0" w:line="193" w:lineRule="exact"/>
        <w:rPr>
          <w:rFonts w:ascii="Arial" w:cs="Arial" w:eastAsia="Arial" w:hAnsi="Arial"/>
          <w:sz w:val="20"/>
          <w:szCs w:val="20"/>
          <w:color w:val="auto"/>
        </w:rPr>
      </w:pPr>
    </w:p>
    <w:p>
      <w:pPr>
        <w:ind w:left="980" w:right="200" w:hanging="490"/>
        <w:spacing w:after="0" w:line="282" w:lineRule="auto"/>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revenue, if any, received from commercial sales of our product candidates, should any of our product candidates receive marketing approval.</w:t>
      </w:r>
    </w:p>
    <w:p>
      <w:pPr>
        <w:spacing w:after="0" w:line="160" w:lineRule="exact"/>
        <w:rPr>
          <w:sz w:val="20"/>
          <w:szCs w:val="20"/>
          <w:color w:val="auto"/>
        </w:rPr>
      </w:pPr>
    </w:p>
    <w:p>
      <w:pPr>
        <w:ind w:right="140" w:firstLine="490"/>
        <w:spacing w:after="0" w:line="250" w:lineRule="auto"/>
        <w:rPr>
          <w:sz w:val="20"/>
          <w:szCs w:val="20"/>
          <w:color w:val="auto"/>
        </w:rPr>
      </w:pPr>
      <w:r>
        <w:rPr>
          <w:rFonts w:ascii="Arial" w:cs="Arial" w:eastAsia="Arial" w:hAnsi="Arial"/>
          <w:sz w:val="20"/>
          <w:szCs w:val="20"/>
          <w:color w:val="auto"/>
        </w:rPr>
        <w:t>We will need additional funds to meet operational needs and capital requirements for clinical trials, other research and development expenditures, and business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clinical trials.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Cash Flows</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shows a summary of our cash flows for the periods indicated:</w:t>
      </w:r>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49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6"/>
                <w:szCs w:val="16"/>
                <w:b w:val="1"/>
                <w:bCs w:val="1"/>
                <w:color w:val="auto"/>
              </w:rPr>
              <w:t>2024</w:t>
            </w:r>
          </w:p>
        </w:tc>
      </w:tr>
      <w:tr>
        <w:trPr>
          <w:trHeight w:val="204"/>
        </w:trPr>
        <w:tc>
          <w:tcPr>
            <w:tcW w:w="4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(000's)</w:t>
            </w:r>
          </w:p>
        </w:tc>
        <w:tc>
          <w:tcPr>
            <w:tcW w:w="1220" w:type="dxa"/>
            <w:vAlign w:val="bottom"/>
          </w:tcPr>
          <w:p>
            <w:pPr>
              <w:spacing w:after="0"/>
              <w:rPr>
                <w:sz w:val="17"/>
                <w:szCs w:val="17"/>
                <w:color w:val="auto"/>
              </w:rPr>
            </w:pPr>
          </w:p>
        </w:tc>
      </w:tr>
      <w:tr>
        <w:trPr>
          <w:trHeight w:val="269"/>
        </w:trPr>
        <w:tc>
          <w:tcPr>
            <w:tcW w:w="4980" w:type="dxa"/>
            <w:vAlign w:val="bottom"/>
            <w:shd w:val="clear" w:color="auto" w:fill="D4EFF3"/>
          </w:tcPr>
          <w:p>
            <w:pPr>
              <w:ind w:left="20"/>
              <w:spacing w:after="0"/>
              <w:rPr>
                <w:sz w:val="20"/>
                <w:szCs w:val="20"/>
                <w:color w:val="auto"/>
              </w:rPr>
            </w:pPr>
            <w:r>
              <w:rPr>
                <w:rFonts w:ascii="Arial" w:cs="Arial" w:eastAsia="Arial" w:hAnsi="Arial"/>
                <w:sz w:val="19"/>
                <w:szCs w:val="19"/>
                <w:color w:val="auto"/>
              </w:rPr>
              <w:t>Cash used in operating activities</w:t>
            </w:r>
          </w:p>
        </w:tc>
        <w:tc>
          <w:tcPr>
            <w:tcW w:w="440" w:type="dxa"/>
            <w:vAlign w:val="bottom"/>
            <w:shd w:val="clear" w:color="auto" w:fill="D4EFF3"/>
          </w:tcPr>
          <w:p>
            <w:pPr>
              <w:jc w:val="right"/>
              <w:ind w:right="103"/>
              <w:spacing w:after="0"/>
              <w:rPr>
                <w:sz w:val="20"/>
                <w:szCs w:val="20"/>
                <w:color w:val="auto"/>
              </w:rPr>
            </w:pPr>
            <w:r>
              <w:rPr>
                <w:rFonts w:ascii="Arial" w:cs="Arial" w:eastAsia="Arial" w:hAnsi="Arial"/>
                <w:sz w:val="19"/>
                <w:szCs w:val="19"/>
                <w:color w:val="auto"/>
              </w:rPr>
              <w:t>$</w:t>
            </w:r>
          </w:p>
        </w:tc>
        <w:tc>
          <w:tcPr>
            <w:tcW w:w="1220" w:type="dxa"/>
            <w:vAlign w:val="bottom"/>
            <w:shd w:val="clear" w:color="auto" w:fill="D4EFF3"/>
          </w:tcPr>
          <w:p>
            <w:pPr>
              <w:jc w:val="right"/>
              <w:spacing w:after="0"/>
              <w:rPr>
                <w:sz w:val="20"/>
                <w:szCs w:val="20"/>
                <w:color w:val="auto"/>
              </w:rPr>
            </w:pPr>
            <w:r>
              <w:rPr>
                <w:rFonts w:ascii="Arial" w:cs="Arial" w:eastAsia="Arial" w:hAnsi="Arial"/>
                <w:sz w:val="19"/>
                <w:szCs w:val="19"/>
                <w:color w:val="auto"/>
              </w:rPr>
              <w:t>(49,143)</w:t>
            </w:r>
          </w:p>
        </w:tc>
        <w:tc>
          <w:tcPr>
            <w:tcW w:w="580" w:type="dxa"/>
            <w:vAlign w:val="bottom"/>
            <w:gridSpan w:val="2"/>
            <w:shd w:val="clear" w:color="auto" w:fill="D4EFF3"/>
          </w:tcPr>
          <w:p>
            <w:pPr>
              <w:jc w:val="right"/>
              <w:ind w:right="200"/>
              <w:spacing w:after="0"/>
              <w:rPr>
                <w:sz w:val="20"/>
                <w:szCs w:val="20"/>
                <w:color w:val="auto"/>
              </w:rPr>
            </w:pPr>
            <w:r>
              <w:rPr>
                <w:rFonts w:ascii="Arial" w:cs="Arial" w:eastAsia="Arial" w:hAnsi="Arial"/>
                <w:sz w:val="19"/>
                <w:szCs w:val="19"/>
                <w:color w:val="auto"/>
              </w:rPr>
              <w:t>$</w:t>
            </w:r>
          </w:p>
        </w:tc>
        <w:tc>
          <w:tcPr>
            <w:tcW w:w="1220" w:type="dxa"/>
            <w:vAlign w:val="bottom"/>
            <w:shd w:val="clear" w:color="auto" w:fill="D4EFF3"/>
          </w:tcPr>
          <w:p>
            <w:pPr>
              <w:jc w:val="right"/>
              <w:spacing w:after="0"/>
              <w:rPr>
                <w:sz w:val="20"/>
                <w:szCs w:val="20"/>
                <w:color w:val="auto"/>
              </w:rPr>
            </w:pPr>
            <w:r>
              <w:rPr>
                <w:rFonts w:ascii="Arial" w:cs="Arial" w:eastAsia="Arial" w:hAnsi="Arial"/>
                <w:sz w:val="19"/>
                <w:szCs w:val="19"/>
                <w:color w:val="auto"/>
              </w:rPr>
              <w:t>(44,855)</w:t>
            </w:r>
          </w:p>
        </w:tc>
      </w:tr>
      <w:tr>
        <w:trPr>
          <w:trHeight w:val="239"/>
        </w:trPr>
        <w:tc>
          <w:tcPr>
            <w:tcW w:w="4980" w:type="dxa"/>
            <w:vAlign w:val="bottom"/>
          </w:tcPr>
          <w:p>
            <w:pPr>
              <w:ind w:left="20"/>
              <w:spacing w:after="0"/>
              <w:rPr>
                <w:sz w:val="20"/>
                <w:szCs w:val="20"/>
                <w:color w:val="auto"/>
              </w:rPr>
            </w:pPr>
            <w:r>
              <w:rPr>
                <w:rFonts w:ascii="Arial" w:cs="Arial" w:eastAsia="Arial" w:hAnsi="Arial"/>
                <w:sz w:val="19"/>
                <w:szCs w:val="19"/>
                <w:color w:val="auto"/>
              </w:rPr>
              <w:t>Cash (used in) provided by investing activities</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(93,306)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26"/>
              <w:spacing w:after="0"/>
              <w:rPr>
                <w:sz w:val="20"/>
                <w:szCs w:val="20"/>
                <w:color w:val="auto"/>
              </w:rPr>
            </w:pPr>
            <w:r>
              <w:rPr>
                <w:rFonts w:ascii="Arial" w:cs="Arial" w:eastAsia="Arial" w:hAnsi="Arial"/>
                <w:sz w:val="19"/>
                <w:szCs w:val="19"/>
                <w:color w:val="auto"/>
              </w:rPr>
              <w:t>46,772</w:t>
            </w:r>
          </w:p>
        </w:tc>
      </w:tr>
      <w:tr>
        <w:trPr>
          <w:trHeight w:val="254"/>
        </w:trPr>
        <w:tc>
          <w:tcPr>
            <w:tcW w:w="498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9"/>
                <w:szCs w:val="19"/>
                <w:color w:val="auto"/>
              </w:rPr>
              <w:t>Cash provided by financing activities</w:t>
            </w:r>
          </w:p>
        </w:tc>
        <w:tc>
          <w:tcPr>
            <w:tcW w:w="440" w:type="dxa"/>
            <w:vAlign w:val="bottom"/>
            <w:tcBorders>
              <w:bottom w:val="single" w:sz="8" w:color="auto"/>
            </w:tcBorders>
            <w:shd w:val="clear" w:color="auto" w:fill="D4EFF3"/>
          </w:tcPr>
          <w:p>
            <w:pPr>
              <w:spacing w:after="0"/>
              <w:rPr>
                <w:sz w:val="22"/>
                <w:szCs w:val="22"/>
                <w:color w:val="auto"/>
              </w:rPr>
            </w:pPr>
          </w:p>
        </w:tc>
        <w:tc>
          <w:tcPr>
            <w:tcW w:w="1220" w:type="dxa"/>
            <w:vAlign w:val="bottom"/>
            <w:tcBorders>
              <w:bottom w:val="single" w:sz="8" w:color="auto"/>
            </w:tcBorders>
            <w:shd w:val="clear" w:color="auto" w:fill="D4EFF3"/>
          </w:tcPr>
          <w:p>
            <w:pPr>
              <w:jc w:val="right"/>
              <w:ind w:right="29"/>
              <w:spacing w:after="0"/>
              <w:rPr>
                <w:sz w:val="20"/>
                <w:szCs w:val="20"/>
                <w:color w:val="auto"/>
              </w:rPr>
            </w:pPr>
            <w:r>
              <w:rPr>
                <w:rFonts w:ascii="Arial" w:cs="Arial" w:eastAsia="Arial" w:hAnsi="Arial"/>
                <w:sz w:val="19"/>
                <w:szCs w:val="19"/>
                <w:color w:val="auto"/>
              </w:rPr>
              <w:t>129,609</w:t>
            </w:r>
          </w:p>
        </w:tc>
        <w:tc>
          <w:tcPr>
            <w:tcW w:w="140" w:type="dxa"/>
            <w:vAlign w:val="bottom"/>
            <w:tcBorders>
              <w:bottom w:val="single" w:sz="8" w:color="D4EFF3"/>
            </w:tcBorders>
            <w:shd w:val="clear" w:color="auto" w:fill="D4EFF3"/>
          </w:tcPr>
          <w:p>
            <w:pPr>
              <w:spacing w:after="0"/>
              <w:rPr>
                <w:sz w:val="22"/>
                <w:szCs w:val="22"/>
                <w:color w:val="auto"/>
              </w:rPr>
            </w:pPr>
          </w:p>
        </w:tc>
        <w:tc>
          <w:tcPr>
            <w:tcW w:w="440" w:type="dxa"/>
            <w:vAlign w:val="bottom"/>
            <w:tcBorders>
              <w:bottom w:val="single" w:sz="8" w:color="auto"/>
            </w:tcBorders>
            <w:shd w:val="clear" w:color="auto" w:fill="D4EFF3"/>
          </w:tcPr>
          <w:p>
            <w:pPr>
              <w:spacing w:after="0"/>
              <w:rPr>
                <w:sz w:val="22"/>
                <w:szCs w:val="22"/>
                <w:color w:val="auto"/>
              </w:rPr>
            </w:pPr>
          </w:p>
        </w:tc>
        <w:tc>
          <w:tcPr>
            <w:tcW w:w="1220" w:type="dxa"/>
            <w:vAlign w:val="bottom"/>
            <w:tcBorders>
              <w:bottom w:val="single" w:sz="8" w:color="auto"/>
            </w:tcBorders>
            <w:shd w:val="clear" w:color="auto" w:fill="D4EFF3"/>
          </w:tcPr>
          <w:p>
            <w:pPr>
              <w:jc w:val="right"/>
              <w:ind w:right="26"/>
              <w:spacing w:after="0"/>
              <w:rPr>
                <w:sz w:val="20"/>
                <w:szCs w:val="20"/>
                <w:color w:val="auto"/>
              </w:rPr>
            </w:pPr>
            <w:r>
              <w:rPr>
                <w:rFonts w:ascii="Arial" w:cs="Arial" w:eastAsia="Arial" w:hAnsi="Arial"/>
                <w:sz w:val="19"/>
                <w:szCs w:val="19"/>
                <w:color w:val="auto"/>
              </w:rPr>
              <w:t>17,338</w:t>
            </w:r>
          </w:p>
        </w:tc>
      </w:tr>
      <w:tr>
        <w:trPr>
          <w:trHeight w:val="234"/>
        </w:trPr>
        <w:tc>
          <w:tcPr>
            <w:tcW w:w="4980" w:type="dxa"/>
            <w:vAlign w:val="bottom"/>
          </w:tcPr>
          <w:p>
            <w:pPr>
              <w:ind w:left="20"/>
              <w:spacing w:after="0"/>
              <w:rPr>
                <w:sz w:val="20"/>
                <w:szCs w:val="20"/>
                <w:color w:val="auto"/>
              </w:rPr>
            </w:pPr>
            <w:r>
              <w:rPr>
                <w:rFonts w:ascii="Arial" w:cs="Arial" w:eastAsia="Arial" w:hAnsi="Arial"/>
                <w:sz w:val="19"/>
                <w:szCs w:val="19"/>
                <w:color w:val="auto"/>
              </w:rPr>
              <w:t>Net (decrease) increase in cash and cash equivalents</w:t>
            </w:r>
          </w:p>
        </w:tc>
        <w:tc>
          <w:tcPr>
            <w:tcW w:w="4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(12,840)</w:t>
            </w:r>
          </w:p>
        </w:tc>
        <w:tc>
          <w:tcPr>
            <w:tcW w:w="5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220" w:type="dxa"/>
            <w:vAlign w:val="bottom"/>
          </w:tcPr>
          <w:p>
            <w:pPr>
              <w:jc w:val="right"/>
              <w:ind w:right="26"/>
              <w:spacing w:after="0"/>
              <w:rPr>
                <w:sz w:val="20"/>
                <w:szCs w:val="20"/>
                <w:color w:val="auto"/>
              </w:rPr>
            </w:pPr>
            <w:r>
              <w:rPr>
                <w:rFonts w:ascii="Arial" w:cs="Arial" w:eastAsia="Arial" w:hAnsi="Arial"/>
                <w:sz w:val="19"/>
                <w:szCs w:val="19"/>
                <w:color w:val="auto"/>
              </w:rPr>
              <w:t>19,255</w:t>
            </w:r>
          </w:p>
        </w:tc>
      </w:tr>
      <w:tr>
        <w:trPr>
          <w:trHeight w:val="20"/>
        </w:trPr>
        <w:tc>
          <w:tcPr>
            <w:tcW w:w="4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3520440</wp:posOffset>
                </wp:positionH>
                <wp:positionV relativeFrom="paragraph">
                  <wp:posOffset>-821055</wp:posOffset>
                </wp:positionV>
                <wp:extent cx="0" cy="1587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29">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64.6499pt" to="277.2pt,-63.3999pt" o:allowincell="f" strokecolor="#000000" strokeweight="0.0102pt"/>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-195580</wp:posOffset>
                </wp:positionV>
                <wp:extent cx="0" cy="1587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29">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15.3999pt" to="277.2pt,-14.1499pt" o:allowincell="f" strokecolor="#000000" strokeweight="0.0102pt"/>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-34290</wp:posOffset>
                </wp:positionV>
                <wp:extent cx="0" cy="1587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29">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2.6999pt" to="277.2pt,-1.4499pt" o:allowincell="f" strokecolor="#000000" strokeweight="0.0102pt"/>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-15240</wp:posOffset>
                </wp:positionV>
                <wp:extent cx="0" cy="152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129">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1.1999pt" to="277.2pt,0pt" o:allowincell="f" strokecolor="#000000" strokeweight="0.0102pt"/>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-962660</wp:posOffset>
                </wp:positionV>
                <wp:extent cx="0" cy="1587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29">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pt,-75.7999pt" to="277.2pt,-74.5499pt" o:allowincell="f" strokecolor="#000000" strokeweight="0.0102pt"/>
            </w:pict>
          </mc:Fallback>
        </mc:AlternateContent>
        <mc:AlternateContent>
          <mc:Choice Requires="wps">
            <w:drawing>
              <wp:anchor simplePos="0" relativeHeight="251657728" behindDoc="1" locked="0" layoutInCell="0" allowOverlap="1">
                <wp:simplePos x="0" y="0"/>
                <wp:positionH relativeFrom="column">
                  <wp:posOffset>4662170</wp:posOffset>
                </wp:positionH>
                <wp:positionV relativeFrom="paragraph">
                  <wp:posOffset>-821055</wp:posOffset>
                </wp:positionV>
                <wp:extent cx="0" cy="1587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49">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1pt,-64.6499pt" to="367.1pt,-63.3999pt" o:allowincell="f" strokecolor="#000000" strokeweight="0.0117pt"/>
            </w:pict>
          </mc:Fallback>
        </mc:AlternateContent>
        <mc:AlternateContent>
          <mc:Choice Requires="wps">
            <w:drawing>
              <wp:anchor simplePos="0" relativeHeight="251657728" behindDoc="1" locked="0" layoutInCell="0" allowOverlap="1">
                <wp:simplePos x="0" y="0"/>
                <wp:positionH relativeFrom="column">
                  <wp:posOffset>4662170</wp:posOffset>
                </wp:positionH>
                <wp:positionV relativeFrom="paragraph">
                  <wp:posOffset>-195580</wp:posOffset>
                </wp:positionV>
                <wp:extent cx="0" cy="1587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49">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1pt,-15.3999pt" to="367.1pt,-14.1499pt" o:allowincell="f" strokecolor="#000000" strokeweight="0.0117pt"/>
            </w:pict>
          </mc:Fallback>
        </mc:AlternateContent>
        <mc:AlternateContent>
          <mc:Choice Requires="wps">
            <w:drawing>
              <wp:anchor simplePos="0" relativeHeight="251657728" behindDoc="1" locked="0" layoutInCell="0" allowOverlap="1">
                <wp:simplePos x="0" y="0"/>
                <wp:positionH relativeFrom="column">
                  <wp:posOffset>4662170</wp:posOffset>
                </wp:positionH>
                <wp:positionV relativeFrom="paragraph">
                  <wp:posOffset>-34290</wp:posOffset>
                </wp:positionV>
                <wp:extent cx="0" cy="1587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149">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1pt,-2.6999pt" to="367.1pt,-1.4499pt" o:allowincell="f" strokecolor="#000000" strokeweight="0.0117pt"/>
            </w:pict>
          </mc:Fallback>
        </mc:AlternateContent>
        <mc:AlternateContent>
          <mc:Choice Requires="wps">
            <w:drawing>
              <wp:anchor simplePos="0" relativeHeight="251657728" behindDoc="1" locked="0" layoutInCell="0" allowOverlap="1">
                <wp:simplePos x="0" y="0"/>
                <wp:positionH relativeFrom="column">
                  <wp:posOffset>4662170</wp:posOffset>
                </wp:positionH>
                <wp:positionV relativeFrom="paragraph">
                  <wp:posOffset>-15240</wp:posOffset>
                </wp:positionV>
                <wp:extent cx="0" cy="152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149">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1pt,-1.1999pt" to="367.1pt,0pt" o:allowincell="f" strokecolor="#000000" strokeweight="0.0117pt"/>
            </w:pict>
          </mc:Fallback>
        </mc:AlternateConten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36" w:lineRule="exact"/>
        <w:rPr>
          <w:sz w:val="20"/>
          <w:szCs w:val="20"/>
          <w:color w:val="auto"/>
        </w:rPr>
      </w:pPr>
    </w:p>
    <w:p>
      <w:pPr>
        <w:ind w:right="320" w:firstLine="489"/>
        <w:spacing w:after="0" w:line="254" w:lineRule="auto"/>
        <w:rPr>
          <w:sz w:val="20"/>
          <w:szCs w:val="20"/>
          <w:color w:val="auto"/>
        </w:rPr>
      </w:pPr>
      <w:r>
        <w:rPr>
          <w:rFonts w:ascii="Arial" w:cs="Arial" w:eastAsia="Arial" w:hAnsi="Arial"/>
          <w:sz w:val="20"/>
          <w:szCs w:val="20"/>
          <w:color w:val="auto"/>
        </w:rPr>
        <w:t>During the year ended December 31, 2025, we used $49.1 million of cash in operating activities, resulting from our net loss of $66.5 million and the change in operating assets and liabilities of $9.2 million and non-cash charges of $8.2 million. Our non-cash charges primarily consisted of stock-based compensation expense of $8.4 million.</w:t>
      </w:r>
    </w:p>
    <w:p>
      <w:pPr>
        <w:spacing w:after="0" w:line="186" w:lineRule="exact"/>
        <w:rPr>
          <w:sz w:val="20"/>
          <w:szCs w:val="20"/>
          <w:color w:val="auto"/>
        </w:rPr>
      </w:pPr>
    </w:p>
    <w:p>
      <w:pPr>
        <w:ind w:right="360" w:firstLine="490"/>
        <w:spacing w:after="0" w:line="282" w:lineRule="auto"/>
        <w:rPr>
          <w:sz w:val="20"/>
          <w:szCs w:val="20"/>
          <w:color w:val="auto"/>
        </w:rPr>
      </w:pPr>
      <w:r>
        <w:rPr>
          <w:rFonts w:ascii="Arial" w:cs="Arial" w:eastAsia="Arial" w:hAnsi="Arial"/>
          <w:sz w:val="20"/>
          <w:szCs w:val="20"/>
          <w:color w:val="auto"/>
        </w:rPr>
        <w:t>During the year ended December 31, 2024, we used $44.9 million of cash in operating activities, resulting from our net loss of $49.4 million and the change in operating assets and liabilities of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2240" w:h="15840" w:orient="portrait"/>
          <w:cols w:equalWidth="0" w:num="1">
            <w:col w:w="9360"/>
          </w:cols>
          <w:pgMar w:left="1440" w:top="988" w:right="1440" w:bottom="161" w:gutter="0" w:footer="0" w:header="0"/>
        </w:sectPr>
      </w:pPr>
    </w:p>
    <w:bookmarkStart w:id="101" w:name="page102"/>
    <w:bookmarkEnd w:id="101"/>
    <w:p>
      <w:pPr>
        <w:ind w:right="380"/>
        <w:spacing w:after="0" w:line="282" w:lineRule="auto"/>
        <w:rPr>
          <w:sz w:val="20"/>
          <w:szCs w:val="20"/>
          <w:color w:val="auto"/>
        </w:rPr>
      </w:pPr>
      <w:r>
        <w:rPr>
          <w:rFonts w:ascii="Arial" w:cs="Arial" w:eastAsia="Arial" w:hAnsi="Arial"/>
          <w:sz w:val="20"/>
          <w:szCs w:val="20"/>
          <w:color w:val="auto"/>
        </w:rPr>
        <w:t>million, offset by non- cash charges of $8.7 million. Our non-cash charges primarily consisted of stock-based compensation expense of $8.6 million.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36" w:lineRule="exact"/>
        <w:rPr>
          <w:sz w:val="20"/>
          <w:szCs w:val="20"/>
          <w:color w:val="auto"/>
        </w:rPr>
      </w:pPr>
    </w:p>
    <w:p>
      <w:pPr>
        <w:ind w:right="260" w:firstLine="490"/>
        <w:spacing w:after="0" w:line="254" w:lineRule="auto"/>
        <w:rPr>
          <w:sz w:val="20"/>
          <w:szCs w:val="20"/>
          <w:color w:val="auto"/>
        </w:rPr>
      </w:pPr>
      <w:r>
        <w:rPr>
          <w:rFonts w:ascii="Arial" w:cs="Arial" w:eastAsia="Arial" w:hAnsi="Arial"/>
          <w:sz w:val="20"/>
          <w:szCs w:val="20"/>
          <w:color w:val="auto"/>
        </w:rPr>
        <w:t>During the year ended December 31, 2025, cash used in investing activities was $93.3 million, which was primarily attributed to the net purchases of marketable securities of $93.3 million. During the year ended December 31, 2024, cash provided by investing activities was $46.8 million, which was primarily attributed to the net proceeds from the sale of marketable securities of $46.8 million.</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34" w:lineRule="exact"/>
        <w:rPr>
          <w:sz w:val="20"/>
          <w:szCs w:val="20"/>
          <w:color w:val="auto"/>
        </w:rPr>
      </w:pPr>
    </w:p>
    <w:p>
      <w:pPr>
        <w:ind w:right="20" w:firstLine="490"/>
        <w:spacing w:after="0" w:line="251" w:lineRule="auto"/>
        <w:rPr>
          <w:sz w:val="20"/>
          <w:szCs w:val="20"/>
          <w:color w:val="auto"/>
        </w:rPr>
      </w:pPr>
      <w:r>
        <w:rPr>
          <w:rFonts w:ascii="Arial" w:cs="Arial" w:eastAsia="Arial" w:hAnsi="Arial"/>
          <w:sz w:val="20"/>
          <w:szCs w:val="20"/>
          <w:color w:val="auto"/>
        </w:rPr>
        <w:t>During the year ended December 31, 2025, cash provided by financing activities was $129.6 million. This was primarily from the issuance of stock through an underwritten stock offering for net proceeds of $129.4 million. During the year ended December 31, 2024, cash provided by financing activities was $17.3 million. This was primarily from the issuance of stock pursuant to our ATM program for net proceeds of $17.6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Future Funding Requirements</w:t>
      </w:r>
    </w:p>
    <w:p>
      <w:pPr>
        <w:spacing w:after="0" w:line="234" w:lineRule="exact"/>
        <w:rPr>
          <w:sz w:val="20"/>
          <w:szCs w:val="20"/>
          <w:color w:val="auto"/>
        </w:rPr>
      </w:pPr>
    </w:p>
    <w:p>
      <w:pPr>
        <w:ind w:right="500" w:firstLine="490"/>
        <w:spacing w:after="0" w:line="261" w:lineRule="auto"/>
        <w:rPr>
          <w:sz w:val="20"/>
          <w:szCs w:val="20"/>
          <w:color w:val="auto"/>
        </w:rPr>
      </w:pPr>
      <w:r>
        <w:rPr>
          <w:rFonts w:ascii="Arial" w:cs="Arial" w:eastAsia="Arial" w:hAnsi="Arial"/>
          <w:sz w:val="20"/>
          <w:szCs w:val="20"/>
          <w:color w:val="auto"/>
        </w:rPr>
        <w:t>We expect our expenses to increase substantially in connection with our ongoing activities, particularly as we advance our product candidates into their next clinical trial phases. The timing and amount of our operating expenditures will depend largely on:</w:t>
      </w:r>
    </w:p>
    <w:p>
      <w:pPr>
        <w:spacing w:after="0" w:line="193" w:lineRule="exact"/>
        <w:rPr>
          <w:sz w:val="20"/>
          <w:szCs w:val="20"/>
          <w:color w:val="auto"/>
        </w:rPr>
      </w:pPr>
    </w:p>
    <w:p>
      <w:pPr>
        <w:ind w:left="980" w:right="780" w:hanging="490"/>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initiation, progress, timing, costs and results of clinical trials for our current product candidates or any future product candidates we may develop;</w:t>
      </w:r>
    </w:p>
    <w:p>
      <w:pPr>
        <w:spacing w:after="0" w:line="172" w:lineRule="exact"/>
        <w:rPr>
          <w:rFonts w:ascii="Arial" w:cs="Arial" w:eastAsia="Arial" w:hAnsi="Arial"/>
          <w:sz w:val="20"/>
          <w:szCs w:val="20"/>
          <w:color w:val="auto"/>
        </w:rPr>
      </w:pPr>
    </w:p>
    <w:p>
      <w:pPr>
        <w:ind w:left="980" w:right="920" w:hanging="490"/>
        <w:spacing w:after="0" w:line="285"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initiation, progress, timing, costs and results of nonclinical studies for our product candidates or any future product candidates we may develop;</w:t>
      </w:r>
    </w:p>
    <w:p>
      <w:pPr>
        <w:spacing w:after="0" w:line="169" w:lineRule="exact"/>
        <w:rPr>
          <w:rFonts w:ascii="Arial" w:cs="Arial" w:eastAsia="Arial" w:hAnsi="Arial"/>
          <w:sz w:val="20"/>
          <w:szCs w:val="20"/>
          <w:color w:val="auto"/>
        </w:rPr>
      </w:pPr>
    </w:p>
    <w:p>
      <w:pPr>
        <w:ind w:left="980" w:hanging="490"/>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our ability to maintain our relationships with key collaborators;</w:t>
      </w:r>
    </w:p>
    <w:p>
      <w:pPr>
        <w:spacing w:after="0" w:line="252" w:lineRule="exact"/>
        <w:rPr>
          <w:rFonts w:ascii="Arial" w:cs="Arial" w:eastAsia="Arial" w:hAnsi="Arial"/>
          <w:sz w:val="20"/>
          <w:szCs w:val="20"/>
          <w:color w:val="auto"/>
        </w:rPr>
      </w:pPr>
    </w:p>
    <w:p>
      <w:pPr>
        <w:jc w:val="both"/>
        <w:ind w:left="980" w:right="40" w:hanging="490"/>
        <w:spacing w:after="0" w:line="254"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or trials that had previously been agreed to;</w:t>
      </w:r>
    </w:p>
    <w:p>
      <w:pPr>
        <w:spacing w:after="0" w:line="200" w:lineRule="exact"/>
        <w:rPr>
          <w:rFonts w:ascii="Arial" w:cs="Arial" w:eastAsia="Arial" w:hAnsi="Arial"/>
          <w:sz w:val="20"/>
          <w:szCs w:val="20"/>
          <w:color w:val="auto"/>
        </w:rPr>
      </w:pPr>
    </w:p>
    <w:p>
      <w:pPr>
        <w:ind w:left="980" w:right="380" w:hanging="490"/>
        <w:spacing w:after="0" w:line="254"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200" w:lineRule="exact"/>
        <w:rPr>
          <w:rFonts w:ascii="Arial" w:cs="Arial" w:eastAsia="Arial" w:hAnsi="Arial"/>
          <w:sz w:val="20"/>
          <w:szCs w:val="20"/>
          <w:color w:val="auto"/>
        </w:rPr>
      </w:pPr>
    </w:p>
    <w:p>
      <w:pPr>
        <w:ind w:left="980" w:hanging="490"/>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w:t>
      </w:r>
    </w:p>
    <w:p>
      <w:pPr>
        <w:spacing w:after="0" w:line="252" w:lineRule="exact"/>
        <w:rPr>
          <w:rFonts w:ascii="Arial" w:cs="Arial" w:eastAsia="Arial" w:hAnsi="Arial"/>
          <w:sz w:val="20"/>
          <w:szCs w:val="20"/>
          <w:color w:val="auto"/>
        </w:rPr>
      </w:pPr>
    </w:p>
    <w:p>
      <w:pPr>
        <w:ind w:left="980" w:right="320" w:hanging="490"/>
        <w:spacing w:after="0" w:line="285"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costs of continuing to grow our business, including hiring key personnel and maintain or acquiring operating space;</w:t>
      </w:r>
    </w:p>
    <w:p>
      <w:pPr>
        <w:spacing w:after="0" w:line="169" w:lineRule="exact"/>
        <w:rPr>
          <w:rFonts w:ascii="Arial" w:cs="Arial" w:eastAsia="Arial" w:hAnsi="Arial"/>
          <w:sz w:val="20"/>
          <w:szCs w:val="20"/>
          <w:color w:val="auto"/>
        </w:rPr>
      </w:pPr>
    </w:p>
    <w:p>
      <w:pPr>
        <w:ind w:left="980" w:right="200" w:hanging="490"/>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market acceptance of any approved product candidates, including product pricing, as well as product coverage and the adequacy of reimbursement by third-party payors;</w:t>
      </w:r>
    </w:p>
    <w:p>
      <w:pPr>
        <w:spacing w:after="0" w:line="172" w:lineRule="exact"/>
        <w:rPr>
          <w:rFonts w:ascii="Arial" w:cs="Arial" w:eastAsia="Arial" w:hAnsi="Arial"/>
          <w:sz w:val="20"/>
          <w:szCs w:val="20"/>
          <w:color w:val="auto"/>
        </w:rPr>
      </w:pPr>
    </w:p>
    <w:p>
      <w:pPr>
        <w:ind w:left="980" w:right="780" w:hanging="490"/>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cost of acquiring, licensing or investing in additional businesses, products, product candidates and technologies;</w:t>
      </w:r>
    </w:p>
    <w:p>
      <w:pPr>
        <w:spacing w:after="0" w:line="172" w:lineRule="exact"/>
        <w:rPr>
          <w:rFonts w:ascii="Arial" w:cs="Arial" w:eastAsia="Arial" w:hAnsi="Arial"/>
          <w:sz w:val="20"/>
          <w:szCs w:val="20"/>
          <w:color w:val="auto"/>
        </w:rPr>
      </w:pPr>
    </w:p>
    <w:p>
      <w:pPr>
        <w:ind w:left="980" w:right="440" w:hanging="490"/>
        <w:spacing w:after="0" w:line="282" w:lineRule="auto"/>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cost and timing of selecting, auditing and potentially validating a manufacturing site for commercial-scale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2240" w:h="15840" w:orient="portrait"/>
          <w:cols w:equalWidth="0" w:num="1">
            <w:col w:w="9360"/>
          </w:cols>
          <w:pgMar w:left="1440" w:top="988" w:right="1440" w:bottom="161" w:gutter="0" w:footer="0" w:header="0"/>
        </w:sectPr>
      </w:pPr>
    </w:p>
    <w:bookmarkStart w:id="102" w:name="page103"/>
    <w:bookmarkEnd w:id="102"/>
    <w:p>
      <w:pPr>
        <w:ind w:left="980" w:right="980" w:hanging="490"/>
        <w:spacing w:after="0" w:line="261"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cost of establishing sales, marketing and distribution capabilities for any product candidates for which we may receive regulatory approval and that we determine to commercialize; and</w:t>
      </w:r>
    </w:p>
    <w:p>
      <w:pPr>
        <w:spacing w:after="0" w:line="193" w:lineRule="exact"/>
        <w:rPr>
          <w:rFonts w:ascii="Arial" w:cs="Arial" w:eastAsia="Arial" w:hAnsi="Arial"/>
          <w:sz w:val="20"/>
          <w:szCs w:val="20"/>
          <w:color w:val="auto"/>
        </w:rPr>
      </w:pPr>
    </w:p>
    <w:p>
      <w:pPr>
        <w:ind w:left="980" w:right="280" w:hanging="490"/>
        <w:spacing w:after="0" w:line="282"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our need to implement additional internal systems and infrastructure, including financial and reporting systems.</w:t>
      </w:r>
    </w:p>
    <w:p>
      <w:pPr>
        <w:spacing w:after="0" w:line="160" w:lineRule="exact"/>
        <w:rPr>
          <w:sz w:val="20"/>
          <w:szCs w:val="20"/>
          <w:color w:val="auto"/>
        </w:rPr>
      </w:pPr>
    </w:p>
    <w:p>
      <w:pPr>
        <w:ind w:right="40" w:firstLine="490"/>
        <w:spacing w:after="0" w:line="245" w:lineRule="auto"/>
        <w:rPr>
          <w:sz w:val="20"/>
          <w:szCs w:val="20"/>
          <w:color w:val="auto"/>
        </w:rPr>
      </w:pPr>
      <w:r>
        <w:rPr>
          <w:rFonts w:ascii="Arial" w:cs="Arial" w:eastAsia="Arial" w:hAnsi="Arial"/>
          <w:sz w:val="20"/>
          <w:szCs w:val="20"/>
          <w:color w:val="auto"/>
        </w:rPr>
        <w:t>We believe that our existing cash, cash equivalents and marketable securities as of December 31, 2025 will enable us to fund our operating expenses and capital expenditure requirements into 2028. We have based this estimate on assumptions that may prove to be wrong, and we could exhaust our available capital resources sooner than we expect. We expect that we will require additional funding to complete the clinical development of our product candidates,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199" w:lineRule="exact"/>
        <w:rPr>
          <w:sz w:val="20"/>
          <w:szCs w:val="20"/>
          <w:color w:val="auto"/>
        </w:rPr>
      </w:pPr>
    </w:p>
    <w:p>
      <w:pPr>
        <w:ind w:right="20" w:firstLine="490"/>
        <w:spacing w:after="0" w:line="242" w:lineRule="auto"/>
        <w:rPr>
          <w:sz w:val="20"/>
          <w:szCs w:val="20"/>
          <w:color w:val="auto"/>
        </w:rPr>
      </w:pPr>
      <w:r>
        <w:rPr>
          <w:rFonts w:ascii="Arial" w:cs="Arial" w:eastAsia="Arial" w:hAnsi="Arial"/>
          <w:sz w:val="20"/>
          <w:szCs w:val="20"/>
          <w:color w:val="auto"/>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our shareholders’ ownership interests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44" w:lineRule="exact"/>
        <w:rPr>
          <w:sz w:val="20"/>
          <w:szCs w:val="20"/>
          <w:color w:val="auto"/>
        </w:rPr>
      </w:pPr>
    </w:p>
    <w:p>
      <w:pPr>
        <w:ind w:right="20" w:firstLine="490"/>
        <w:spacing w:after="0" w:line="261" w:lineRule="auto"/>
        <w:rPr>
          <w:sz w:val="20"/>
          <w:szCs w:val="20"/>
          <w:color w:val="auto"/>
        </w:rPr>
      </w:pPr>
      <w:r>
        <w:rPr>
          <w:rFonts w:ascii="Arial" w:cs="Arial" w:eastAsia="Arial" w:hAnsi="Arial"/>
          <w:sz w:val="20"/>
          <w:szCs w:val="20"/>
          <w:color w:val="auto"/>
        </w:rPr>
        <w:t>The following table summarizes our contractual obligations as of December 31, 2025 and the effects that such obligations are expected to have on our liquidity and cash flows in future periods:</w:t>
      </w: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5"/>
          </w:tcPr>
          <w:p>
            <w:pPr>
              <w:jc w:val="center"/>
              <w:spacing w:after="0" w:line="211" w:lineRule="exact"/>
              <w:rPr>
                <w:sz w:val="20"/>
                <w:szCs w:val="20"/>
                <w:color w:val="auto"/>
              </w:rPr>
            </w:pPr>
            <w:r>
              <w:rPr>
                <w:rFonts w:ascii="Arial" w:cs="Arial" w:eastAsia="Arial" w:hAnsi="Arial"/>
                <w:sz w:val="15"/>
                <w:szCs w:val="15"/>
                <w:b w:val="1"/>
                <w:bCs w:val="1"/>
                <w:color w:val="auto"/>
                <w:w w:val="98"/>
              </w:rPr>
              <w:t>Payments due by Period (000's)</w:t>
            </w:r>
            <w:r>
              <w:rPr>
                <w:rFonts w:ascii="Arial" w:cs="Arial" w:eastAsia="Arial" w:hAnsi="Arial"/>
                <w:sz w:val="20"/>
                <w:szCs w:val="20"/>
                <w:b w:val="1"/>
                <w:bCs w:val="1"/>
                <w:color w:val="auto"/>
                <w:w w:val="98"/>
                <w:vertAlign w:val="superscript"/>
              </w:rPr>
              <w:t>(2)</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78"/>
        </w:trPr>
        <w:tc>
          <w:tcPr>
            <w:tcW w:w="2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9"/>
              </w:rPr>
              <w:t>Less than</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6"/>
              </w:rPr>
              <w:t>1 to 3</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3 to 5</w:t>
            </w:r>
          </w:p>
        </w:tc>
        <w:tc>
          <w:tcPr>
            <w:tcW w:w="1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More than</w:t>
            </w:r>
          </w:p>
        </w:tc>
      </w:tr>
      <w:tr>
        <w:trPr>
          <w:trHeight w:val="195"/>
        </w:trPr>
        <w:tc>
          <w:tcPr>
            <w:tcW w:w="2900" w:type="dxa"/>
            <w:vAlign w:val="bottom"/>
            <w:tcBorders>
              <w:bottom w:val="single" w:sz="8" w:color="D4EFF3"/>
            </w:tcBorders>
          </w:tcPr>
          <w:p>
            <w:pPr>
              <w:spacing w:after="0"/>
              <w:rPr>
                <w:sz w:val="16"/>
                <w:szCs w:val="16"/>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D4EFF3"/>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 year</w:t>
            </w:r>
          </w:p>
        </w:tc>
        <w:tc>
          <w:tcPr>
            <w:tcW w:w="160" w:type="dxa"/>
            <w:vAlign w:val="bottom"/>
            <w:tcBorders>
              <w:bottom w:val="single" w:sz="8" w:color="D4EFF3"/>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years</w:t>
            </w:r>
          </w:p>
        </w:tc>
        <w:tc>
          <w:tcPr>
            <w:tcW w:w="140" w:type="dxa"/>
            <w:vAlign w:val="bottom"/>
            <w:tcBorders>
              <w:bottom w:val="single" w:sz="8" w:color="D4EFF3"/>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years</w:t>
            </w:r>
          </w:p>
        </w:tc>
        <w:tc>
          <w:tcPr>
            <w:tcW w:w="140" w:type="dxa"/>
            <w:vAlign w:val="bottom"/>
            <w:tcBorders>
              <w:bottom w:val="single" w:sz="8" w:color="D4EFF3"/>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rPr>
              <w:t>5 years</w:t>
            </w:r>
          </w:p>
        </w:tc>
      </w:tr>
      <w:tr>
        <w:trPr>
          <w:trHeight w:val="261"/>
        </w:trPr>
        <w:tc>
          <w:tcPr>
            <w:tcW w:w="2900" w:type="dxa"/>
            <w:vAlign w:val="bottom"/>
            <w:shd w:val="clear" w:color="auto" w:fill="D4EFF3"/>
          </w:tcPr>
          <w:p>
            <w:pPr>
              <w:ind w:left="40"/>
              <w:spacing w:after="0" w:line="260" w:lineRule="exact"/>
              <w:rPr>
                <w:sz w:val="20"/>
                <w:szCs w:val="20"/>
                <w:color w:val="auto"/>
              </w:rPr>
            </w:pPr>
            <w:r>
              <w:rPr>
                <w:rFonts w:ascii="Arial" w:cs="Arial" w:eastAsia="Arial" w:hAnsi="Arial"/>
                <w:sz w:val="19"/>
                <w:szCs w:val="19"/>
                <w:color w:val="auto"/>
              </w:rPr>
              <w:t>Operating lease commitments</w:t>
            </w:r>
            <w:r>
              <w:rPr>
                <w:rFonts w:ascii="Arial" w:cs="Arial" w:eastAsia="Arial" w:hAnsi="Arial"/>
                <w:sz w:val="24"/>
                <w:szCs w:val="24"/>
                <w:color w:val="auto"/>
                <w:vertAlign w:val="superscript"/>
              </w:rPr>
              <w:t>(1)</w:t>
            </w:r>
          </w:p>
        </w:tc>
        <w:tc>
          <w:tcPr>
            <w:tcW w:w="1100" w:type="dxa"/>
            <w:vAlign w:val="bottom"/>
            <w:shd w:val="clear" w:color="auto" w:fill="D4EFF3"/>
          </w:tcPr>
          <w:p>
            <w:pPr>
              <w:jc w:val="right"/>
              <w:ind w:right="16"/>
              <w:spacing w:after="0"/>
              <w:rPr>
                <w:sz w:val="20"/>
                <w:szCs w:val="20"/>
                <w:color w:val="auto"/>
              </w:rPr>
            </w:pPr>
            <w:r>
              <w:rPr>
                <w:rFonts w:ascii="Arial" w:cs="Arial" w:eastAsia="Arial" w:hAnsi="Arial"/>
                <w:sz w:val="19"/>
                <w:szCs w:val="19"/>
                <w:color w:val="auto"/>
              </w:rPr>
              <w:t>$  11,623</w:t>
            </w:r>
          </w:p>
        </w:tc>
        <w:tc>
          <w:tcPr>
            <w:tcW w:w="1260" w:type="dxa"/>
            <w:vAlign w:val="bottom"/>
            <w:gridSpan w:val="2"/>
            <w:shd w:val="clear" w:color="auto" w:fill="D4EFF3"/>
          </w:tcPr>
          <w:p>
            <w:pPr>
              <w:jc w:val="center"/>
              <w:ind w:left="106"/>
              <w:spacing w:after="0"/>
              <w:rPr>
                <w:sz w:val="20"/>
                <w:szCs w:val="20"/>
                <w:color w:val="auto"/>
              </w:rPr>
            </w:pPr>
            <w:r>
              <w:rPr>
                <w:rFonts w:ascii="Arial" w:cs="Arial" w:eastAsia="Arial" w:hAnsi="Arial"/>
                <w:sz w:val="19"/>
                <w:szCs w:val="19"/>
                <w:color w:val="auto"/>
              </w:rPr>
              <w:t>$   1,525</w:t>
            </w:r>
          </w:p>
        </w:tc>
        <w:tc>
          <w:tcPr>
            <w:tcW w:w="1260" w:type="dxa"/>
            <w:vAlign w:val="bottom"/>
            <w:gridSpan w:val="2"/>
            <w:shd w:val="clear" w:color="auto" w:fill="D4EFF3"/>
          </w:tcPr>
          <w:p>
            <w:pPr>
              <w:jc w:val="center"/>
              <w:ind w:left="106"/>
              <w:spacing w:after="0"/>
              <w:rPr>
                <w:sz w:val="20"/>
                <w:szCs w:val="20"/>
                <w:color w:val="auto"/>
              </w:rPr>
            </w:pPr>
            <w:r>
              <w:rPr>
                <w:rFonts w:ascii="Arial" w:cs="Arial" w:eastAsia="Arial" w:hAnsi="Arial"/>
                <w:sz w:val="19"/>
                <w:szCs w:val="19"/>
                <w:color w:val="auto"/>
              </w:rPr>
              <w:t>$   4,453</w:t>
            </w:r>
          </w:p>
        </w:tc>
        <w:tc>
          <w:tcPr>
            <w:tcW w:w="1260" w:type="dxa"/>
            <w:vAlign w:val="bottom"/>
            <w:gridSpan w:val="2"/>
            <w:shd w:val="clear" w:color="auto" w:fill="D4EFF3"/>
          </w:tcPr>
          <w:p>
            <w:pPr>
              <w:jc w:val="center"/>
              <w:ind w:left="66"/>
              <w:spacing w:after="0"/>
              <w:rPr>
                <w:sz w:val="20"/>
                <w:szCs w:val="20"/>
                <w:color w:val="auto"/>
              </w:rPr>
            </w:pPr>
            <w:r>
              <w:rPr>
                <w:rFonts w:ascii="Arial" w:cs="Arial" w:eastAsia="Arial" w:hAnsi="Arial"/>
                <w:sz w:val="19"/>
                <w:szCs w:val="19"/>
                <w:color w:val="auto"/>
              </w:rPr>
              <w:t>$   4,650</w:t>
            </w:r>
          </w:p>
        </w:tc>
        <w:tc>
          <w:tcPr>
            <w:tcW w:w="400" w:type="dxa"/>
            <w:vAlign w:val="bottom"/>
            <w:gridSpan w:val="2"/>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D4EFF3"/>
          </w:tcPr>
          <w:p>
            <w:pPr>
              <w:jc w:val="right"/>
              <w:ind w:right="16"/>
              <w:spacing w:after="0"/>
              <w:rPr>
                <w:sz w:val="20"/>
                <w:szCs w:val="20"/>
                <w:color w:val="auto"/>
              </w:rPr>
            </w:pPr>
            <w:r>
              <w:rPr>
                <w:rFonts w:ascii="Arial" w:cs="Arial" w:eastAsia="Arial" w:hAnsi="Arial"/>
                <w:sz w:val="19"/>
                <w:szCs w:val="19"/>
                <w:color w:val="auto"/>
              </w:rPr>
              <w:t>995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1844040</wp:posOffset>
                </wp:positionH>
                <wp:positionV relativeFrom="paragraph">
                  <wp:posOffset>-184150</wp:posOffset>
                </wp:positionV>
                <wp:extent cx="0" cy="120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1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2pt,-14.4999pt" to="145.2pt,-13.5499pt" o:allowincell="f" strokecolor="#000000" strokeweight="0.0013pt"/>
            </w:pict>
          </mc:Fallback>
        </mc:AlternateContent>
        <mc:AlternateContent>
          <mc:Choice Requires="wps">
            <w:drawing>
              <wp:anchor simplePos="0" relativeHeight="251657728" behindDoc="1" locked="0" layoutInCell="0" allowOverlap="1">
                <wp:simplePos x="0" y="0"/>
                <wp:positionH relativeFrom="column">
                  <wp:posOffset>2640965</wp:posOffset>
                </wp:positionH>
                <wp:positionV relativeFrom="paragraph">
                  <wp:posOffset>-184150</wp:posOffset>
                </wp:positionV>
                <wp:extent cx="0" cy="120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32">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95pt,-14.4999pt" to="207.95pt,-13.5499pt" o:allowincell="f" strokecolor="#000000" strokeweight="0.0025pt"/>
            </w:pict>
          </mc:Fallback>
        </mc:AlternateContent>
        <mc:AlternateContent>
          <mc:Choice Requires="wps">
            <w:drawing>
              <wp:anchor simplePos="0" relativeHeight="251657728" behindDoc="1" locked="0" layoutInCell="0" allowOverlap="1">
                <wp:simplePos x="0" y="0"/>
                <wp:positionH relativeFrom="column">
                  <wp:posOffset>3437255</wp:posOffset>
                </wp:positionH>
                <wp:positionV relativeFrom="paragraph">
                  <wp:posOffset>-184150</wp:posOffset>
                </wp:positionV>
                <wp:extent cx="0" cy="1206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23">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65pt,-14.4999pt" to="270.65pt,-13.5499pt" o:allowincell="f" strokecolor="#000000" strokeweight="0.0018pt"/>
            </w:pict>
          </mc:Fallback>
        </mc:AlternateContent>
        <mc:AlternateContent>
          <mc:Choice Requires="wps">
            <w:drawing>
              <wp:anchor simplePos="0" relativeHeight="251657728" behindDoc="1" locked="0" layoutInCell="0" allowOverlap="1">
                <wp:simplePos x="0" y="0"/>
                <wp:positionH relativeFrom="column">
                  <wp:posOffset>4233545</wp:posOffset>
                </wp:positionH>
                <wp:positionV relativeFrom="paragraph">
                  <wp:posOffset>-184150</wp:posOffset>
                </wp:positionV>
                <wp:extent cx="0" cy="120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26">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35pt,-14.4999pt" to="333.35pt,-13.5499pt" o:allowincell="f" strokecolor="#000000" strokeweight="0.002pt"/>
            </w:pict>
          </mc:Fallback>
        </mc:AlternateContent>
        <mc:AlternateContent>
          <mc:Choice Requires="wps">
            <w:drawing>
              <wp:anchor simplePos="0" relativeHeight="251657728" behindDoc="1" locked="0" layoutInCell="0" allowOverlap="1">
                <wp:simplePos x="0" y="0"/>
                <wp:positionH relativeFrom="column">
                  <wp:posOffset>1844040</wp:posOffset>
                </wp:positionH>
                <wp:positionV relativeFrom="paragraph">
                  <wp:posOffset>-434340</wp:posOffset>
                </wp:positionV>
                <wp:extent cx="0" cy="127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1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2pt,-34.1999pt" to="145.2pt,-33.1999pt" o:allowincell="f" strokecolor="#000000" strokeweight="0.0013pt"/>
            </w:pict>
          </mc:Fallback>
        </mc:AlternateContent>
        <mc:AlternateContent>
          <mc:Choice Requires="wps">
            <w:drawing>
              <wp:anchor simplePos="0" relativeHeight="251657728" behindDoc="1" locked="0" layoutInCell="0" allowOverlap="1">
                <wp:simplePos x="0" y="0"/>
                <wp:positionH relativeFrom="column">
                  <wp:posOffset>5030470</wp:posOffset>
                </wp:positionH>
                <wp:positionV relativeFrom="paragraph">
                  <wp:posOffset>-184150</wp:posOffset>
                </wp:positionV>
                <wp:extent cx="0" cy="1206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42">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1pt,-14.4999pt" to="396.1pt,-13.5499pt" o:allowincell="f" strokecolor="#000000" strokeweight="0.0033pt"/>
            </w:pict>
          </mc:Fallback>
        </mc:AlternateContent>
      </w:r>
    </w:p>
    <w:p>
      <w:pPr>
        <w:spacing w:after="0" w:line="242" w:lineRule="exact"/>
        <w:rPr>
          <w:sz w:val="20"/>
          <w:szCs w:val="20"/>
          <w:color w:val="auto"/>
        </w:rPr>
      </w:pPr>
    </w:p>
    <w:p>
      <w:pPr>
        <w:ind w:left="480" w:right="620" w:hanging="480"/>
        <w:spacing w:after="0" w:line="283" w:lineRule="auto"/>
        <w:tabs>
          <w:tab w:leader="none" w:pos="4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payments due for our leases of office and laboratory space in Boston, Massachusetts under an operating lease agreement that expires in May 2031.</w:t>
      </w:r>
    </w:p>
    <w:p>
      <w:pPr>
        <w:spacing w:after="0" w:line="44" w:lineRule="exact"/>
        <w:rPr>
          <w:rFonts w:ascii="Arial" w:cs="Arial" w:eastAsia="Arial" w:hAnsi="Arial"/>
          <w:sz w:val="18"/>
          <w:szCs w:val="18"/>
          <w:color w:val="auto"/>
        </w:rPr>
      </w:pPr>
    </w:p>
    <w:p>
      <w:pPr>
        <w:ind w:left="480" w:right="560" w:hanging="480"/>
        <w:spacing w:after="0" w:line="254" w:lineRule="auto"/>
        <w:tabs>
          <w:tab w:leader="none" w:pos="4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table does not include (i) any milestone payments that are not deemed probable under license agreements as the timing and likelihood of such payments are not known with certainty, (ii) any royalty payments to third parties as the amounts, timing and likelihood of such payments are not known, and (iii) contracts that are entered into in the ordinary course of business which are cancelable.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44" w:lineRule="exact"/>
        <w:rPr>
          <w:sz w:val="20"/>
          <w:szCs w:val="20"/>
          <w:color w:val="auto"/>
        </w:rPr>
      </w:pPr>
    </w:p>
    <w:p>
      <w:pPr>
        <w:ind w:right="80" w:firstLine="490"/>
        <w:spacing w:after="0" w:line="262" w:lineRule="auto"/>
        <w:rPr>
          <w:sz w:val="20"/>
          <w:szCs w:val="20"/>
          <w:color w:val="auto"/>
        </w:rPr>
      </w:pPr>
      <w:r>
        <w:rPr>
          <w:rFonts w:ascii="Arial" w:cs="Arial" w:eastAsia="Arial" w:hAnsi="Arial"/>
          <w:sz w:val="19"/>
          <w:szCs w:val="19"/>
          <w:color w:val="auto"/>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and liabilities, the disclosure of contingent assets and liabilities at the date of the consolidated financial statements and the reported amount of revenue and expenses during the reporting period. We base our estimates on historical experience, known trends and events, and various other factors that we believe are reasonable under the circumstances, the results of which form the basis for</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101</w:t>
      </w:r>
    </w:p>
    <w:p>
      <w:pPr>
        <w:sectPr>
          <w:pgSz w:w="12240" w:h="15840" w:orient="portrait"/>
          <w:cols w:equalWidth="0" w:num="1">
            <w:col w:w="9360"/>
          </w:cols>
          <w:pgMar w:left="1440" w:top="1000" w:right="1440" w:bottom="161" w:gutter="0" w:footer="0" w:header="0"/>
        </w:sectPr>
      </w:pPr>
    </w:p>
    <w:bookmarkStart w:id="103" w:name="page104"/>
    <w:bookmarkEnd w:id="103"/>
    <w:p>
      <w:pPr>
        <w:ind w:right="140"/>
        <w:spacing w:after="0" w:line="260" w:lineRule="auto"/>
        <w:rPr>
          <w:sz w:val="20"/>
          <w:szCs w:val="20"/>
          <w:color w:val="auto"/>
        </w:rPr>
      </w:pPr>
      <w:r>
        <w:rPr>
          <w:rFonts w:ascii="Arial" w:cs="Arial" w:eastAsia="Arial" w:hAnsi="Arial"/>
          <w:sz w:val="20"/>
          <w:szCs w:val="20"/>
          <w:color w:val="auto"/>
        </w:rPr>
        <w:t>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1" w:lineRule="exact"/>
        <w:rPr>
          <w:sz w:val="20"/>
          <w:szCs w:val="20"/>
          <w:color w:val="auto"/>
        </w:rPr>
      </w:pPr>
    </w:p>
    <w:p>
      <w:pPr>
        <w:ind w:right="40" w:firstLine="490"/>
        <w:spacing w:after="0" w:line="254" w:lineRule="auto"/>
        <w:rPr>
          <w:sz w:val="20"/>
          <w:szCs w:val="20"/>
          <w:color w:val="auto"/>
        </w:rPr>
      </w:pPr>
      <w:r>
        <w:rPr>
          <w:rFonts w:ascii="Arial" w:cs="Arial" w:eastAsia="Arial" w:hAnsi="Arial"/>
          <w:sz w:val="20"/>
          <w:szCs w:val="20"/>
          <w:color w:val="auto"/>
        </w:rPr>
        <w:t>While our significant accounting policies are described in more detail in Note 3 to our consolidated financial statements appearing in this Form 10-K, we believe that the following accounting policies are the most critical to the judgments and estimates used in the preparation of our consolidated financial statements.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34" w:lineRule="exact"/>
        <w:rPr>
          <w:sz w:val="20"/>
          <w:szCs w:val="20"/>
          <w:color w:val="auto"/>
        </w:rPr>
      </w:pPr>
    </w:p>
    <w:p>
      <w:pPr>
        <w:ind w:right="520" w:firstLine="490"/>
        <w:spacing w:after="0" w:line="282" w:lineRule="auto"/>
        <w:rPr>
          <w:sz w:val="20"/>
          <w:szCs w:val="20"/>
          <w:color w:val="auto"/>
        </w:rPr>
      </w:pPr>
      <w:r>
        <w:rPr>
          <w:rFonts w:ascii="Arial" w:cs="Arial" w:eastAsia="Arial" w:hAnsi="Arial"/>
          <w:sz w:val="20"/>
          <w:szCs w:val="20"/>
          <w:color w:val="auto"/>
        </w:rPr>
        <w:t>Research and development expenses consist primarily of costs incurred in connection with the development of our product candidates. We expense research and development costs as incurred.</w:t>
      </w:r>
    </w:p>
    <w:p>
      <w:pPr>
        <w:spacing w:after="0" w:line="160" w:lineRule="exact"/>
        <w:rPr>
          <w:sz w:val="20"/>
          <w:szCs w:val="20"/>
          <w:color w:val="auto"/>
        </w:rPr>
      </w:pPr>
    </w:p>
    <w:p>
      <w:pPr>
        <w:ind w:right="100" w:firstLine="490"/>
        <w:spacing w:after="0" w:line="250" w:lineRule="auto"/>
        <w:rPr>
          <w:sz w:val="20"/>
          <w:szCs w:val="20"/>
          <w:color w:val="auto"/>
        </w:rPr>
      </w:pPr>
      <w:r>
        <w:rPr>
          <w:rFonts w:ascii="Arial" w:cs="Arial" w:eastAsia="Arial" w:hAnsi="Arial"/>
          <w:sz w:val="20"/>
          <w:szCs w:val="20"/>
          <w:color w:val="auto"/>
        </w:rPr>
        <w:t>At the end of each reporting period, we compare payments made to third-party service providers to the estimated progress toward completion of the applicable research or development objectives. Such estimates are subject to change as additional information becomes available. Depending on the timing of payments to the service providers and the progress that we estimate has been made as a result of the service provided, we may record net prepaid or accrued expenses relating to these costs.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20"/>
          <w:szCs w:val="20"/>
          <w:b w:val="1"/>
          <w:bCs w:val="1"/>
          <w:i w:val="1"/>
          <w:iCs w:val="1"/>
          <w:color w:val="auto"/>
        </w:rPr>
        <w:t>Stock Awards and Unit-Based Compensation</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summarizes stock awards and unit-based compensation expense:</w:t>
      </w:r>
    </w:p>
    <w:p>
      <w:pPr>
        <w:spacing w:after="0" w:line="286"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780" w:type="dxa"/>
            <w:vAlign w:val="bottom"/>
            <w:tcBorders>
              <w:bottom w:val="single" w:sz="8" w:color="auto"/>
            </w:tcBorders>
          </w:tcPr>
          <w:p>
            <w:pPr>
              <w:spacing w:after="0"/>
              <w:rPr>
                <w:sz w:val="18"/>
                <w:szCs w:val="18"/>
                <w:color w:val="auto"/>
              </w:rPr>
            </w:pPr>
          </w:p>
        </w:tc>
      </w:tr>
      <w:tr>
        <w:trPr>
          <w:trHeight w:val="189"/>
        </w:trPr>
        <w:tc>
          <w:tcPr>
            <w:tcW w:w="2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2024</w:t>
            </w:r>
          </w:p>
        </w:tc>
      </w:tr>
      <w:tr>
        <w:trPr>
          <w:trHeight w:val="189"/>
        </w:trPr>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rPr>
              <w:t>(000's)</w:t>
            </w:r>
          </w:p>
        </w:tc>
        <w:tc>
          <w:tcPr>
            <w:tcW w:w="780" w:type="dxa"/>
            <w:vAlign w:val="bottom"/>
          </w:tcPr>
          <w:p>
            <w:pPr>
              <w:spacing w:after="0"/>
              <w:rPr>
                <w:sz w:val="16"/>
                <w:szCs w:val="16"/>
                <w:color w:val="auto"/>
              </w:rPr>
            </w:pPr>
          </w:p>
        </w:tc>
      </w:tr>
      <w:tr>
        <w:trPr>
          <w:trHeight w:val="259"/>
        </w:trPr>
        <w:tc>
          <w:tcPr>
            <w:tcW w:w="2860" w:type="dxa"/>
            <w:vAlign w:val="bottom"/>
            <w:shd w:val="clear" w:color="auto" w:fill="D4EFF3"/>
          </w:tcPr>
          <w:p>
            <w:pPr>
              <w:ind w:left="40"/>
              <w:spacing w:after="0"/>
              <w:rPr>
                <w:sz w:val="20"/>
                <w:szCs w:val="20"/>
                <w:color w:val="auto"/>
              </w:rPr>
            </w:pPr>
            <w:r>
              <w:rPr>
                <w:rFonts w:ascii="Arial" w:cs="Arial" w:eastAsia="Arial" w:hAnsi="Arial"/>
                <w:sz w:val="20"/>
                <w:szCs w:val="20"/>
                <w:color w:val="auto"/>
              </w:rPr>
              <w:t>Research and development</w:t>
            </w:r>
          </w:p>
        </w:tc>
        <w:tc>
          <w:tcPr>
            <w:tcW w:w="340" w:type="dxa"/>
            <w:vAlign w:val="bottom"/>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4EFF3"/>
          </w:tcPr>
          <w:p>
            <w:pPr>
              <w:jc w:val="right"/>
              <w:ind w:right="30"/>
              <w:spacing w:after="0"/>
              <w:rPr>
                <w:sz w:val="20"/>
                <w:szCs w:val="20"/>
                <w:color w:val="auto"/>
              </w:rPr>
            </w:pPr>
            <w:r>
              <w:rPr>
                <w:rFonts w:ascii="Arial" w:cs="Arial" w:eastAsia="Arial" w:hAnsi="Arial"/>
                <w:sz w:val="20"/>
                <w:szCs w:val="20"/>
                <w:color w:val="auto"/>
              </w:rPr>
              <w:t>3,346</w:t>
            </w:r>
          </w:p>
        </w:tc>
        <w:tc>
          <w:tcPr>
            <w:tcW w:w="540" w:type="dxa"/>
            <w:vAlign w:val="bottom"/>
            <w:gridSpan w:val="3"/>
            <w:shd w:val="clear" w:color="auto" w:fill="D4EFF3"/>
          </w:tcPr>
          <w:p>
            <w:pPr>
              <w:jc w:val="right"/>
              <w:ind w:right="21"/>
              <w:spacing w:after="0"/>
              <w:rPr>
                <w:sz w:val="20"/>
                <w:szCs w:val="20"/>
                <w:color w:val="auto"/>
              </w:rPr>
            </w:pPr>
            <w:r>
              <w:rPr>
                <w:rFonts w:ascii="Arial" w:cs="Arial" w:eastAsia="Arial" w:hAnsi="Arial"/>
                <w:sz w:val="20"/>
                <w:szCs w:val="20"/>
                <w:color w:val="auto"/>
              </w:rPr>
              <w:t>$</w:t>
            </w:r>
          </w:p>
        </w:tc>
        <w:tc>
          <w:tcPr>
            <w:tcW w:w="780" w:type="dxa"/>
            <w:vAlign w:val="bottom"/>
            <w:shd w:val="clear" w:color="auto" w:fill="D4EFF3"/>
          </w:tcPr>
          <w:p>
            <w:pPr>
              <w:jc w:val="right"/>
              <w:ind w:right="6"/>
              <w:spacing w:after="0"/>
              <w:rPr>
                <w:sz w:val="20"/>
                <w:szCs w:val="20"/>
                <w:color w:val="auto"/>
              </w:rPr>
            </w:pPr>
            <w:r>
              <w:rPr>
                <w:rFonts w:ascii="Arial" w:cs="Arial" w:eastAsia="Arial" w:hAnsi="Arial"/>
                <w:sz w:val="20"/>
                <w:szCs w:val="20"/>
                <w:color w:val="auto"/>
              </w:rPr>
              <w:t>2,971</w:t>
            </w:r>
          </w:p>
        </w:tc>
      </w:tr>
      <w:tr>
        <w:trPr>
          <w:trHeight w:val="229"/>
        </w:trPr>
        <w:tc>
          <w:tcPr>
            <w:tcW w:w="2860" w:type="dxa"/>
            <w:vAlign w:val="bottom"/>
            <w:tcBorders>
              <w:bottom w:val="single" w:sz="8" w:color="D4EFF3"/>
            </w:tcBorders>
          </w:tcPr>
          <w:p>
            <w:pPr>
              <w:ind w:left="40"/>
              <w:spacing w:after="0" w:line="229" w:lineRule="exact"/>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line="229" w:lineRule="exact"/>
              <w:rPr>
                <w:sz w:val="20"/>
                <w:szCs w:val="20"/>
                <w:color w:val="auto"/>
              </w:rPr>
            </w:pPr>
            <w:r>
              <w:rPr>
                <w:rFonts w:ascii="Arial" w:cs="Arial" w:eastAsia="Arial" w:hAnsi="Arial"/>
                <w:sz w:val="20"/>
                <w:szCs w:val="20"/>
                <w:color w:val="auto"/>
              </w:rPr>
              <w:t>5,022</w:t>
            </w:r>
          </w:p>
        </w:tc>
        <w:tc>
          <w:tcPr>
            <w:tcW w:w="160" w:type="dxa"/>
            <w:vAlign w:val="bottom"/>
            <w:tcBorders>
              <w:bottom w:val="single" w:sz="8" w:color="D4EFF3"/>
            </w:tcBorders>
          </w:tcPr>
          <w:p>
            <w:pPr>
              <w:spacing w:after="0"/>
              <w:rPr>
                <w:sz w:val="19"/>
                <w:szCs w:val="19"/>
                <w:color w:val="auto"/>
              </w:rPr>
            </w:pPr>
          </w:p>
        </w:tc>
        <w:tc>
          <w:tcPr>
            <w:tcW w:w="20" w:type="dxa"/>
            <w:vAlign w:val="bottom"/>
            <w:tcBorders>
              <w:bottom w:val="single" w:sz="8" w:color="D4EFF3"/>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
              <w:spacing w:after="0" w:line="229" w:lineRule="exact"/>
              <w:rPr>
                <w:sz w:val="20"/>
                <w:szCs w:val="20"/>
                <w:color w:val="auto"/>
              </w:rPr>
            </w:pPr>
            <w:r>
              <w:rPr>
                <w:rFonts w:ascii="Arial" w:cs="Arial" w:eastAsia="Arial" w:hAnsi="Arial"/>
                <w:sz w:val="20"/>
                <w:szCs w:val="20"/>
                <w:color w:val="auto"/>
              </w:rPr>
              <w:t>5,589</w:t>
            </w:r>
          </w:p>
        </w:tc>
      </w:tr>
      <w:tr>
        <w:trPr>
          <w:trHeight w:val="249"/>
        </w:trPr>
        <w:tc>
          <w:tcPr>
            <w:tcW w:w="286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D4EFF3"/>
          </w:tcPr>
          <w:p>
            <w:pPr>
              <w:jc w:val="right"/>
              <w:ind w:right="30"/>
              <w:spacing w:after="0"/>
              <w:rPr>
                <w:sz w:val="20"/>
                <w:szCs w:val="20"/>
                <w:color w:val="auto"/>
              </w:rPr>
            </w:pPr>
            <w:r>
              <w:rPr>
                <w:rFonts w:ascii="Arial" w:cs="Arial" w:eastAsia="Arial" w:hAnsi="Arial"/>
                <w:sz w:val="20"/>
                <w:szCs w:val="20"/>
                <w:color w:val="auto"/>
              </w:rPr>
              <w:t>8,368</w:t>
            </w:r>
          </w:p>
        </w:tc>
        <w:tc>
          <w:tcPr>
            <w:tcW w:w="160" w:type="dxa"/>
            <w:vAlign w:val="bottom"/>
            <w:tcBorders>
              <w:bottom w:val="single" w:sz="8" w:color="D4EFF3"/>
            </w:tcBorders>
            <w:shd w:val="clear" w:color="auto" w:fill="D4EFF3"/>
          </w:tcPr>
          <w:p>
            <w:pPr>
              <w:spacing w:after="0"/>
              <w:rPr>
                <w:sz w:val="21"/>
                <w:szCs w:val="21"/>
                <w:color w:val="auto"/>
              </w:rPr>
            </w:pPr>
          </w:p>
        </w:tc>
        <w:tc>
          <w:tcPr>
            <w:tcW w:w="20" w:type="dxa"/>
            <w:vAlign w:val="bottom"/>
            <w:tcBorders>
              <w:bottom w:val="single" w:sz="8" w:color="auto"/>
            </w:tcBorders>
            <w:shd w:val="clear" w:color="auto" w:fill="D4EFF3"/>
          </w:tcPr>
          <w:p>
            <w:pPr>
              <w:spacing w:after="0"/>
              <w:rPr>
                <w:sz w:val="21"/>
                <w:szCs w:val="21"/>
                <w:color w:val="auto"/>
              </w:rPr>
            </w:pPr>
          </w:p>
        </w:tc>
        <w:tc>
          <w:tcPr>
            <w:tcW w:w="360" w:type="dxa"/>
            <w:vAlign w:val="bottom"/>
            <w:tcBorders>
              <w:bottom w:val="single" w:sz="8" w:color="auto"/>
            </w:tcBorders>
            <w:shd w:val="clear" w:color="auto" w:fill="D4EFF3"/>
          </w:tcPr>
          <w:p>
            <w:pPr>
              <w:jc w:val="right"/>
              <w:ind w:right="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20"/>
                <w:szCs w:val="20"/>
                <w:color w:val="auto"/>
              </w:rPr>
              <w:t>8,560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2160905</wp:posOffset>
                </wp:positionH>
                <wp:positionV relativeFrom="paragraph">
                  <wp:posOffset>-631190</wp:posOffset>
                </wp:positionV>
                <wp:extent cx="0" cy="127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39">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5pt,-49.6999pt" to="170.15pt,-48.6999pt" o:allowincell="f" strokecolor="#000000" strokeweight="0.0031pt"/>
            </w:pict>
          </mc:Fallback>
        </mc:AlternateContent>
        <mc:AlternateContent>
          <mc:Choice Requires="wps">
            <w:drawing>
              <wp:anchor simplePos="0" relativeHeight="251657728" behindDoc="1" locked="0" layoutInCell="0" allowOverlap="1">
                <wp:simplePos x="0" y="0"/>
                <wp:positionH relativeFrom="column">
                  <wp:posOffset>2160905</wp:posOffset>
                </wp:positionH>
                <wp:positionV relativeFrom="paragraph">
                  <wp:posOffset>-24765</wp:posOffset>
                </wp:positionV>
                <wp:extent cx="0" cy="2476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39">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5pt,-1.9499pt" to="170.15pt,0pt" o:allowincell="f" strokecolor="#000000" strokeweight="0.0031pt"/>
            </w:pict>
          </mc:Fallback>
        </mc:AlternateContent>
        <mc:AlternateContent>
          <mc:Choice Requires="wps">
            <w:drawing>
              <wp:anchor simplePos="0" relativeHeight="251657728" behindDoc="1" locked="0" layoutInCell="0" allowOverlap="1">
                <wp:simplePos x="0" y="0"/>
                <wp:positionH relativeFrom="column">
                  <wp:posOffset>2160905</wp:posOffset>
                </wp:positionH>
                <wp:positionV relativeFrom="paragraph">
                  <wp:posOffset>-763905</wp:posOffset>
                </wp:positionV>
                <wp:extent cx="0" cy="127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39">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5pt,-60.1499pt" to="170.15pt,-59.1499pt" o:allowincell="f" strokecolor="#000000" strokeweight="0.0031pt"/>
            </w:pict>
          </mc:Fallback>
        </mc:AlternateContent>
        <mc:AlternateContent>
          <mc:Choice Requires="wps">
            <w:drawing>
              <wp:anchor simplePos="0" relativeHeight="251657728" behindDoc="1" locked="0" layoutInCell="0" allowOverlap="1">
                <wp:simplePos x="0" y="0"/>
                <wp:positionH relativeFrom="column">
                  <wp:posOffset>3004185</wp:posOffset>
                </wp:positionH>
                <wp:positionV relativeFrom="paragraph">
                  <wp:posOffset>-631190</wp:posOffset>
                </wp:positionV>
                <wp:extent cx="0" cy="127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64">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5pt,-49.6999pt" to="236.55pt,-48.6999pt" o:allowincell="f" strokecolor="#000000" strokeweight="0.005pt"/>
            </w:pict>
          </mc:Fallback>
        </mc:AlternateContent>
        <mc:AlternateContent>
          <mc:Choice Requires="wps">
            <w:drawing>
              <wp:anchor simplePos="0" relativeHeight="251657728" behindDoc="1" locked="0" layoutInCell="0" allowOverlap="1">
                <wp:simplePos x="0" y="0"/>
                <wp:positionH relativeFrom="column">
                  <wp:posOffset>3004185</wp:posOffset>
                </wp:positionH>
                <wp:positionV relativeFrom="paragraph">
                  <wp:posOffset>-24765</wp:posOffset>
                </wp:positionV>
                <wp:extent cx="0" cy="247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64">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5pt,-1.9499pt" to="236.55pt,0pt" o:allowincell="f" strokecolor="#000000" strokeweight="0.005pt"/>
            </w:pict>
          </mc:Fallback>
        </mc:AlternateContent>
      </w:r>
    </w:p>
    <w:p>
      <w:pPr>
        <w:spacing w:after="0" w:line="368" w:lineRule="exact"/>
        <w:rPr>
          <w:sz w:val="20"/>
          <w:szCs w:val="20"/>
          <w:color w:val="auto"/>
        </w:rPr>
      </w:pPr>
    </w:p>
    <w:p>
      <w:pPr>
        <w:ind w:right="880" w:firstLine="444"/>
        <w:spacing w:after="0" w:line="282" w:lineRule="auto"/>
        <w:rPr>
          <w:sz w:val="20"/>
          <w:szCs w:val="20"/>
          <w:color w:val="auto"/>
        </w:rPr>
      </w:pPr>
      <w:r>
        <w:rPr>
          <w:rFonts w:ascii="Arial" w:cs="Arial" w:eastAsia="Arial" w:hAnsi="Arial"/>
          <w:sz w:val="20"/>
          <w:szCs w:val="20"/>
          <w:color w:val="auto"/>
        </w:rPr>
        <w:t>See Notes 3 and 9 to our consolidated financial statements appearing in this Form 10-K for additional stock compensation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and Adopted Accounting Pronouncements</w:t>
      </w:r>
    </w:p>
    <w:p>
      <w:pPr>
        <w:spacing w:after="0" w:line="244" w:lineRule="exact"/>
        <w:rPr>
          <w:sz w:val="20"/>
          <w:szCs w:val="20"/>
          <w:color w:val="auto"/>
        </w:rPr>
      </w:pPr>
    </w:p>
    <w:p>
      <w:pPr>
        <w:ind w:right="120" w:firstLine="490"/>
        <w:spacing w:after="0" w:line="261" w:lineRule="auto"/>
        <w:rPr>
          <w:sz w:val="20"/>
          <w:szCs w:val="20"/>
          <w:color w:val="auto"/>
        </w:rPr>
      </w:pPr>
      <w:r>
        <w:rPr>
          <w:rFonts w:ascii="Arial" w:cs="Arial" w:eastAsia="Arial" w:hAnsi="Arial"/>
          <w:sz w:val="20"/>
          <w:szCs w:val="20"/>
          <w:color w:val="auto"/>
        </w:rPr>
        <w:t>A description of recently issued accounting pronouncements that may potentially impact our financial position and results of operations is disclosed in Note 3 to our consolidated financial statements appearing in this Annual Report.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4" w:lineRule="exact"/>
        <w:rPr>
          <w:sz w:val="20"/>
          <w:szCs w:val="20"/>
          <w:color w:val="auto"/>
        </w:rPr>
      </w:pPr>
    </w:p>
    <w:p>
      <w:pPr>
        <w:ind w:right="20" w:firstLine="490"/>
        <w:spacing w:after="0" w:line="244" w:lineRule="auto"/>
        <w:rPr>
          <w:sz w:val="20"/>
          <w:szCs w:val="20"/>
          <w:color w:val="auto"/>
        </w:rPr>
      </w:pPr>
      <w:r>
        <w:rPr>
          <w:rFonts w:ascii="Arial" w:cs="Arial" w:eastAsia="Arial" w:hAnsi="Arial"/>
          <w:sz w:val="20"/>
          <w:szCs w:val="20"/>
          <w:color w:val="auto"/>
        </w:rPr>
        <w:t>Our cash is held on deposit in demand accounts at a large financial institution in amounts in excess of the Federal Deposit Insurance Corporation ("FDIC") insurance coverage limit of $250,000 per depositor, per FDIC-insured bank, per ownership category. We have reviewed the consolidated financial statements of this institution and believe it has sufficient assets and liquidity to conduct its operations in the ordinary course of business with little or no credit risk to us. Financial instruments that potentially subject us to concentrations of credit risk principally consist of cash equivalents and marketable securities including corporate bonds, commercial paper certificates of deposit, U.S. government treasuries and asset backed securities, all of which are subject to interest rate risk. We limit our credit risk by investing in highly-rated securities. Changes in the general level of interest rates can affect the fair value of our investment portfolio. If interest rates in the general economy were to change, our holdings could change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2240" w:h="15840" w:orient="portrait"/>
          <w:cols w:equalWidth="0" w:num="1">
            <w:col w:w="9360"/>
          </w:cols>
          <w:pgMar w:left="1440" w:top="988" w:right="1440" w:bottom="161" w:gutter="0" w:footer="0" w:header="0"/>
        </w:sectPr>
      </w:pPr>
    </w:p>
    <w:bookmarkStart w:id="104" w:name="page105"/>
    <w:bookmarkEnd w:id="104"/>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0"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COMPASS THERAPEUTICS, INC. AND SUBSIDIARIES</w:t>
      </w:r>
    </w:p>
    <w:p>
      <w:pPr>
        <w:spacing w:after="0" w:line="28"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0" w:type="dxa"/>
            <w:vAlign w:val="bottom"/>
            <w:vMerge w:val="restart"/>
          </w:tcPr>
          <w:p>
            <w:pPr>
              <w:spacing w:after="0"/>
              <w:rPr>
                <w:sz w:val="20"/>
                <w:szCs w:val="20"/>
                <w:color w:val="auto"/>
              </w:rPr>
            </w:pPr>
            <w:r>
              <w:rPr>
                <w:rFonts w:ascii="Arial" w:cs="Arial" w:eastAsia="Arial" w:hAnsi="Arial"/>
                <w:sz w:val="20"/>
                <w:szCs w:val="20"/>
                <w:b w:val="1"/>
                <w:bCs w:val="1"/>
                <w:color w:val="auto"/>
              </w:rPr>
              <w:t>Report of Independent Registered Public Accounting Firm</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Page(s)</w:t>
            </w:r>
          </w:p>
        </w:tc>
        <w:tc>
          <w:tcPr>
            <w:tcW w:w="0" w:type="dxa"/>
            <w:vAlign w:val="bottom"/>
          </w:tcPr>
          <w:p>
            <w:pPr>
              <w:spacing w:after="0"/>
              <w:rPr>
                <w:sz w:val="1"/>
                <w:szCs w:val="1"/>
                <w:color w:val="auto"/>
              </w:rPr>
            </w:pPr>
          </w:p>
        </w:tc>
      </w:tr>
      <w:tr>
        <w:trPr>
          <w:trHeight w:val="260"/>
        </w:trPr>
        <w:tc>
          <w:tcPr>
            <w:tcW w:w="8600" w:type="dxa"/>
            <w:vAlign w:val="bottom"/>
            <w:vMerge w:val="continue"/>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104</w:t>
            </w:r>
          </w:p>
        </w:tc>
        <w:tc>
          <w:tcPr>
            <w:tcW w:w="0" w:type="dxa"/>
            <w:vAlign w:val="bottom"/>
          </w:tcPr>
          <w:p>
            <w:pPr>
              <w:spacing w:after="0"/>
              <w:rPr>
                <w:sz w:val="1"/>
                <w:szCs w:val="1"/>
                <w:color w:val="auto"/>
              </w:rPr>
            </w:pPr>
          </w:p>
        </w:tc>
      </w:tr>
      <w:tr>
        <w:trPr>
          <w:trHeight w:val="402"/>
        </w:trPr>
        <w:tc>
          <w:tcPr>
            <w:tcW w:w="8600" w:type="dxa"/>
            <w:vAlign w:val="bottom"/>
          </w:tcPr>
          <w:p>
            <w:pPr>
              <w:spacing w:after="0"/>
              <w:rPr>
                <w:sz w:val="20"/>
                <w:szCs w:val="20"/>
                <w:color w:val="auto"/>
              </w:rPr>
            </w:pPr>
            <w:r>
              <w:rPr>
                <w:rFonts w:ascii="Arial" w:cs="Arial" w:eastAsia="Arial" w:hAnsi="Arial"/>
                <w:sz w:val="20"/>
                <w:szCs w:val="20"/>
                <w:b w:val="1"/>
                <w:bCs w:val="1"/>
                <w:color w:val="auto"/>
              </w:rPr>
              <w:t>Consolidated 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600" w:type="dxa"/>
            <w:vAlign w:val="bottom"/>
          </w:tcPr>
          <w:p>
            <w:pPr>
              <w:spacing w:after="0" w:line="228" w:lineRule="exact"/>
              <w:rPr>
                <w:sz w:val="20"/>
                <w:szCs w:val="20"/>
                <w:color w:val="auto"/>
              </w:rPr>
            </w:pPr>
            <w:r>
              <w:rPr>
                <w:rFonts w:ascii="Arial" w:cs="Arial" w:eastAsia="Arial" w:hAnsi="Arial"/>
                <w:sz w:val="20"/>
                <w:szCs w:val="20"/>
                <w:color w:val="auto"/>
              </w:rPr>
              <w:t>Consolidated Balance Sheets</w:t>
            </w:r>
          </w:p>
        </w:tc>
        <w:tc>
          <w:tcPr>
            <w:tcW w:w="760" w:type="dxa"/>
            <w:vAlign w:val="bottom"/>
          </w:tcPr>
          <w:p>
            <w:pPr>
              <w:jc w:val="right"/>
              <w:spacing w:after="0" w:line="228" w:lineRule="exact"/>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20"/>
                <w:szCs w:val="20"/>
                <w:color w:val="auto"/>
              </w:rPr>
              <w:t>Consolidated Statements of Operations and Comprehensive Loss</w:t>
            </w:r>
          </w:p>
        </w:tc>
        <w:tc>
          <w:tcPr>
            <w:tcW w:w="76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20"/>
                <w:szCs w:val="20"/>
                <w:color w:val="auto"/>
              </w:rPr>
              <w:t>Consolidated Statements of Changes in Stockholders’ Equity</w:t>
            </w:r>
          </w:p>
        </w:tc>
        <w:tc>
          <w:tcPr>
            <w:tcW w:w="760" w:type="dxa"/>
            <w:vAlign w:val="bottom"/>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20"/>
                <w:szCs w:val="20"/>
                <w:color w:val="auto"/>
              </w:rPr>
              <w:t>Consolidated Statements of Cash Flows</w:t>
            </w:r>
          </w:p>
        </w:tc>
        <w:tc>
          <w:tcPr>
            <w:tcW w:w="760" w:type="dxa"/>
            <w:vAlign w:val="bottom"/>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70"/>
        </w:trPr>
        <w:tc>
          <w:tcPr>
            <w:tcW w:w="860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2240" w:h="15840" w:orient="portrait"/>
          <w:cols w:equalWidth="0" w:num="1">
            <w:col w:w="9360"/>
          </w:cols>
          <w:pgMar w:left="1440" w:top="1440" w:right="1440" w:bottom="163" w:gutter="0" w:footer="0" w:header="0"/>
        </w:sectPr>
      </w:pPr>
    </w:p>
    <w:bookmarkStart w:id="105" w:name="page106"/>
    <w:bookmarkEnd w:id="105"/>
    <w:p>
      <w:pPr>
        <w:ind w:left="19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Compass Therapeutics, Inc.</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2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We have audited the accompanying consolidated balance sheets of Compass Therapeutics, Inc. and subsidiaries (the “Company”) as of December 31, 2025 and 2024, and the related consolidated statements of operations and comprehensive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2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Critical audit matters are matters arising from the current period audit of the consolidated financial statements that were communicated or required to be communicated to the audit committee and that: (1) related to accounts or disclosures that are material to the consolidated financial statements and (2) involved our especially challenging, subjective, or complex judgments. We have determined that there are no critical audit matters.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 CohnReznick LLP</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March 2020.</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Melville, New York</w:t>
      </w:r>
    </w:p>
    <w:p>
      <w:pPr>
        <w:spacing w:after="0"/>
        <w:rPr>
          <w:sz w:val="20"/>
          <w:szCs w:val="20"/>
          <w:color w:val="auto"/>
        </w:rPr>
      </w:pPr>
      <w:r>
        <w:rPr>
          <w:rFonts w:ascii="Arial" w:cs="Arial" w:eastAsia="Arial" w:hAnsi="Arial"/>
          <w:sz w:val="20"/>
          <w:szCs w:val="20"/>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104</w:t>
      </w:r>
    </w:p>
    <w:p>
      <w:pPr>
        <w:sectPr>
          <w:pgSz w:w="12240" w:h="15840" w:orient="portrait"/>
          <w:cols w:equalWidth="0" w:num="1">
            <w:col w:w="9360"/>
          </w:cols>
          <w:pgMar w:left="1440" w:top="1416" w:right="1440" w:bottom="163" w:gutter="0" w:footer="0" w:header="0"/>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auto"/>
        </w:rPr>
        <w:t>Compass Therapeutics,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par value per share data)</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9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8"/>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D4EFF3"/>
          </w:tcPr>
          <w:p>
            <w:pPr>
              <w:ind w:left="20"/>
              <w:spacing w:after="0"/>
              <w:rPr>
                <w:sz w:val="20"/>
                <w:szCs w:val="20"/>
                <w:color w:val="auto"/>
              </w:rPr>
            </w:pPr>
            <w:r>
              <w:rPr>
                <w:rFonts w:ascii="Arial" w:cs="Arial" w:eastAsia="Arial" w:hAnsi="Arial"/>
                <w:sz w:val="19"/>
                <w:szCs w:val="19"/>
                <w:b w:val="1"/>
                <w:bCs w:val="1"/>
                <w:color w:val="auto"/>
              </w:rPr>
              <w:t>Assets</w:t>
            </w:r>
          </w:p>
        </w:tc>
        <w:tc>
          <w:tcPr>
            <w:tcW w:w="440" w:type="dxa"/>
            <w:vAlign w:val="bottom"/>
            <w:shd w:val="clear" w:color="auto" w:fill="D4EFF3"/>
          </w:tcPr>
          <w:p>
            <w:pPr>
              <w:spacing w:after="0"/>
              <w:rPr>
                <w:sz w:val="21"/>
                <w:szCs w:val="21"/>
                <w:color w:val="auto"/>
              </w:rPr>
            </w:pPr>
          </w:p>
        </w:tc>
        <w:tc>
          <w:tcPr>
            <w:tcW w:w="1160" w:type="dxa"/>
            <w:vAlign w:val="bottom"/>
            <w:shd w:val="clear" w:color="auto" w:fill="D4EFF3"/>
          </w:tcPr>
          <w:p>
            <w:pPr>
              <w:spacing w:after="0"/>
              <w:rPr>
                <w:sz w:val="21"/>
                <w:szCs w:val="21"/>
                <w:color w:val="auto"/>
              </w:rPr>
            </w:pPr>
          </w:p>
        </w:tc>
        <w:tc>
          <w:tcPr>
            <w:tcW w:w="140" w:type="dxa"/>
            <w:vAlign w:val="bottom"/>
            <w:shd w:val="clear" w:color="auto" w:fill="D4EFF3"/>
          </w:tcPr>
          <w:p>
            <w:pPr>
              <w:spacing w:after="0"/>
              <w:rPr>
                <w:sz w:val="21"/>
                <w:szCs w:val="21"/>
                <w:color w:val="auto"/>
              </w:rPr>
            </w:pPr>
          </w:p>
        </w:tc>
        <w:tc>
          <w:tcPr>
            <w:tcW w:w="560" w:type="dxa"/>
            <w:vAlign w:val="bottom"/>
            <w:shd w:val="clear" w:color="auto" w:fill="D4EFF3"/>
          </w:tcPr>
          <w:p>
            <w:pPr>
              <w:spacing w:after="0"/>
              <w:rPr>
                <w:sz w:val="21"/>
                <w:szCs w:val="21"/>
                <w:color w:val="auto"/>
              </w:rPr>
            </w:pPr>
          </w:p>
        </w:tc>
        <w:tc>
          <w:tcPr>
            <w:tcW w:w="104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980" w:type="dxa"/>
            <w:vAlign w:val="bottom"/>
          </w:tcPr>
          <w:p>
            <w:pPr>
              <w:ind w:left="20"/>
              <w:spacing w:after="0"/>
              <w:rPr>
                <w:sz w:val="20"/>
                <w:szCs w:val="20"/>
                <w:color w:val="auto"/>
              </w:rPr>
            </w:pPr>
            <w:r>
              <w:rPr>
                <w:rFonts w:ascii="Arial" w:cs="Arial" w:eastAsia="Arial" w:hAnsi="Arial"/>
                <w:sz w:val="19"/>
                <w:szCs w:val="19"/>
                <w:color w:val="auto"/>
              </w:rPr>
              <w:t>Current assets: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D4EFF3"/>
          </w:tcPr>
          <w:p>
            <w:pPr>
              <w:ind w:left="280"/>
              <w:spacing w:after="0"/>
              <w:rPr>
                <w:sz w:val="20"/>
                <w:szCs w:val="20"/>
                <w:color w:val="auto"/>
              </w:rPr>
            </w:pPr>
            <w:r>
              <w:rPr>
                <w:rFonts w:ascii="Arial" w:cs="Arial" w:eastAsia="Arial" w:hAnsi="Arial"/>
                <w:sz w:val="19"/>
                <w:szCs w:val="19"/>
                <w:color w:val="auto"/>
              </w:rPr>
              <w:t>Cash and cash equivalents</w:t>
            </w:r>
          </w:p>
        </w:tc>
        <w:tc>
          <w:tcPr>
            <w:tcW w:w="440" w:type="dxa"/>
            <w:vAlign w:val="bottom"/>
            <w:shd w:val="clear" w:color="auto" w:fill="D4EFF3"/>
          </w:tcPr>
          <w:p>
            <w:pPr>
              <w:jc w:val="right"/>
              <w:ind w:right="106"/>
              <w:spacing w:after="0"/>
              <w:rPr>
                <w:sz w:val="20"/>
                <w:szCs w:val="20"/>
                <w:color w:val="auto"/>
              </w:rPr>
            </w:pPr>
            <w:r>
              <w:rPr>
                <w:rFonts w:ascii="Arial" w:cs="Arial" w:eastAsia="Arial" w:hAnsi="Arial"/>
                <w:sz w:val="19"/>
                <w:szCs w:val="19"/>
                <w:color w:val="auto"/>
              </w:rPr>
              <w:t>$</w:t>
            </w:r>
          </w:p>
        </w:tc>
        <w:tc>
          <w:tcPr>
            <w:tcW w:w="116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30,643</w:t>
            </w:r>
          </w:p>
        </w:tc>
        <w:tc>
          <w:tcPr>
            <w:tcW w:w="700" w:type="dxa"/>
            <w:vAlign w:val="bottom"/>
            <w:gridSpan w:val="2"/>
            <w:shd w:val="clear" w:color="auto" w:fill="D4EFF3"/>
          </w:tcPr>
          <w:p>
            <w:pPr>
              <w:jc w:val="right"/>
              <w:ind w:right="226"/>
              <w:spacing w:after="0"/>
              <w:rPr>
                <w:sz w:val="20"/>
                <w:szCs w:val="20"/>
                <w:color w:val="auto"/>
              </w:rPr>
            </w:pPr>
            <w:r>
              <w:rPr>
                <w:rFonts w:ascii="Arial" w:cs="Arial" w:eastAsia="Arial" w:hAnsi="Arial"/>
                <w:sz w:val="19"/>
                <w:szCs w:val="19"/>
                <w:color w:val="auto"/>
              </w:rPr>
              <w:t>$</w:t>
            </w:r>
          </w:p>
        </w:tc>
        <w:tc>
          <w:tcPr>
            <w:tcW w:w="10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43,483</w:t>
            </w:r>
          </w:p>
        </w:tc>
        <w:tc>
          <w:tcPr>
            <w:tcW w:w="0" w:type="dxa"/>
            <w:vAlign w:val="bottom"/>
          </w:tcPr>
          <w:p>
            <w:pPr>
              <w:spacing w:after="0"/>
              <w:rPr>
                <w:sz w:val="1"/>
                <w:szCs w:val="1"/>
                <w:color w:val="auto"/>
              </w:rPr>
            </w:pPr>
          </w:p>
        </w:tc>
      </w:tr>
      <w:tr>
        <w:trPr>
          <w:trHeight w:val="218"/>
        </w:trPr>
        <w:tc>
          <w:tcPr>
            <w:tcW w:w="5980" w:type="dxa"/>
            <w:vAlign w:val="bottom"/>
          </w:tcPr>
          <w:p>
            <w:pPr>
              <w:ind w:left="280"/>
              <w:spacing w:after="0"/>
              <w:rPr>
                <w:sz w:val="20"/>
                <w:szCs w:val="20"/>
                <w:color w:val="auto"/>
              </w:rPr>
            </w:pPr>
            <w:r>
              <w:rPr>
                <w:rFonts w:ascii="Arial" w:cs="Arial" w:eastAsia="Arial" w:hAnsi="Arial"/>
                <w:sz w:val="19"/>
                <w:szCs w:val="19"/>
                <w:color w:val="auto"/>
              </w:rPr>
              <w:t>Marketable securities</w:t>
            </w:r>
          </w:p>
        </w:tc>
        <w:tc>
          <w:tcPr>
            <w:tcW w:w="440" w:type="dxa"/>
            <w:vAlign w:val="bottom"/>
          </w:tcPr>
          <w:p>
            <w:pPr>
              <w:spacing w:after="0"/>
              <w:rPr>
                <w:sz w:val="18"/>
                <w:szCs w:val="18"/>
                <w:color w:val="auto"/>
              </w:rPr>
            </w:pP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178,263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83,239</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D4EFF3"/>
            </w:tcBorders>
            <w:shd w:val="clear" w:color="auto" w:fill="D4EFF3"/>
          </w:tcPr>
          <w:p>
            <w:pPr>
              <w:ind w:left="280"/>
              <w:spacing w:after="0"/>
              <w:rPr>
                <w:sz w:val="20"/>
                <w:szCs w:val="20"/>
                <w:color w:val="auto"/>
              </w:rPr>
            </w:pPr>
            <w:r>
              <w:rPr>
                <w:rFonts w:ascii="Arial" w:cs="Arial" w:eastAsia="Arial" w:hAnsi="Arial"/>
                <w:sz w:val="19"/>
                <w:szCs w:val="19"/>
                <w:color w:val="auto"/>
              </w:rPr>
              <w:t>Prepaid expenses and other current assets</w:t>
            </w:r>
          </w:p>
        </w:tc>
        <w:tc>
          <w:tcPr>
            <w:tcW w:w="440" w:type="dxa"/>
            <w:vAlign w:val="bottom"/>
            <w:tcBorders>
              <w:bottom w:val="single" w:sz="8" w:color="auto"/>
            </w:tcBorders>
            <w:shd w:val="clear" w:color="auto" w:fill="D4EFF3"/>
          </w:tcPr>
          <w:p>
            <w:pPr>
              <w:spacing w:after="0"/>
              <w:rPr>
                <w:sz w:val="19"/>
                <w:szCs w:val="19"/>
                <w:color w:val="auto"/>
              </w:rPr>
            </w:pPr>
          </w:p>
        </w:tc>
        <w:tc>
          <w:tcPr>
            <w:tcW w:w="116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913</w:t>
            </w:r>
          </w:p>
        </w:tc>
        <w:tc>
          <w:tcPr>
            <w:tcW w:w="140" w:type="dxa"/>
            <w:vAlign w:val="bottom"/>
            <w:tcBorders>
              <w:bottom w:val="single" w:sz="8" w:color="D4EFF3"/>
            </w:tcBorders>
            <w:shd w:val="clear" w:color="auto" w:fill="D4EFF3"/>
          </w:tcPr>
          <w:p>
            <w:pPr>
              <w:spacing w:after="0"/>
              <w:rPr>
                <w:sz w:val="19"/>
                <w:szCs w:val="19"/>
                <w:color w:val="auto"/>
              </w:rPr>
            </w:pPr>
          </w:p>
        </w:tc>
        <w:tc>
          <w:tcPr>
            <w:tcW w:w="560" w:type="dxa"/>
            <w:vAlign w:val="bottom"/>
            <w:tcBorders>
              <w:bottom w:val="single" w:sz="8" w:color="auto"/>
            </w:tcBorders>
            <w:shd w:val="clear" w:color="auto" w:fill="D4EFF3"/>
          </w:tcPr>
          <w:p>
            <w:pPr>
              <w:spacing w:after="0"/>
              <w:rPr>
                <w:sz w:val="19"/>
                <w:szCs w:val="19"/>
                <w:color w:val="auto"/>
              </w:rPr>
            </w:pPr>
          </w:p>
        </w:tc>
        <w:tc>
          <w:tcPr>
            <w:tcW w:w="10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6,029</w:t>
            </w:r>
          </w:p>
        </w:tc>
        <w:tc>
          <w:tcPr>
            <w:tcW w:w="0" w:type="dxa"/>
            <w:vAlign w:val="bottom"/>
          </w:tcPr>
          <w:p>
            <w:pPr>
              <w:spacing w:after="0"/>
              <w:rPr>
                <w:sz w:val="1"/>
                <w:szCs w:val="1"/>
                <w:color w:val="auto"/>
              </w:rPr>
            </w:pPr>
          </w:p>
        </w:tc>
      </w:tr>
      <w:tr>
        <w:trPr>
          <w:trHeight w:val="232"/>
        </w:trPr>
        <w:tc>
          <w:tcPr>
            <w:tcW w:w="5980" w:type="dxa"/>
            <w:vAlign w:val="bottom"/>
          </w:tcPr>
          <w:p>
            <w:pPr>
              <w:ind w:left="540"/>
              <w:spacing w:after="0"/>
              <w:rPr>
                <w:sz w:val="20"/>
                <w:szCs w:val="20"/>
                <w:color w:val="auto"/>
              </w:rPr>
            </w:pPr>
            <w:r>
              <w:rPr>
                <w:rFonts w:ascii="Arial" w:cs="Arial" w:eastAsia="Arial" w:hAnsi="Arial"/>
                <w:sz w:val="19"/>
                <w:szCs w:val="19"/>
                <w:color w:val="auto"/>
              </w:rPr>
              <w:t>Total current assets</w:t>
            </w:r>
          </w:p>
        </w:tc>
        <w:tc>
          <w:tcPr>
            <w:tcW w:w="44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209,819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132,751</w:t>
            </w:r>
          </w:p>
        </w:tc>
        <w:tc>
          <w:tcPr>
            <w:tcW w:w="0" w:type="dxa"/>
            <w:vAlign w:val="bottom"/>
          </w:tcPr>
          <w:p>
            <w:pPr>
              <w:spacing w:after="0"/>
              <w:rPr>
                <w:sz w:val="1"/>
                <w:szCs w:val="1"/>
                <w:color w:val="auto"/>
              </w:rPr>
            </w:pPr>
          </w:p>
        </w:tc>
      </w:tr>
      <w:tr>
        <w:trPr>
          <w:trHeight w:val="261"/>
        </w:trPr>
        <w:tc>
          <w:tcPr>
            <w:tcW w:w="5980" w:type="dxa"/>
            <w:vAlign w:val="bottom"/>
            <w:shd w:val="clear" w:color="auto" w:fill="D4EFF3"/>
          </w:tcPr>
          <w:p>
            <w:pPr>
              <w:ind w:left="280"/>
              <w:spacing w:after="0"/>
              <w:rPr>
                <w:sz w:val="20"/>
                <w:szCs w:val="20"/>
                <w:color w:val="auto"/>
              </w:rPr>
            </w:pPr>
            <w:r>
              <w:rPr>
                <w:rFonts w:ascii="Arial" w:cs="Arial" w:eastAsia="Arial" w:hAnsi="Arial"/>
                <w:sz w:val="19"/>
                <w:szCs w:val="19"/>
                <w:color w:val="auto"/>
              </w:rPr>
              <w:t>Property and equipment, net</w:t>
            </w:r>
          </w:p>
        </w:tc>
        <w:tc>
          <w:tcPr>
            <w:tcW w:w="440" w:type="dxa"/>
            <w:vAlign w:val="bottom"/>
            <w:shd w:val="clear" w:color="auto" w:fill="D4EFF3"/>
          </w:tcPr>
          <w:p>
            <w:pPr>
              <w:spacing w:after="0"/>
              <w:rPr>
                <w:sz w:val="22"/>
                <w:szCs w:val="22"/>
                <w:color w:val="auto"/>
              </w:rPr>
            </w:pPr>
          </w:p>
        </w:tc>
        <w:tc>
          <w:tcPr>
            <w:tcW w:w="116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102</w:t>
            </w:r>
          </w:p>
        </w:tc>
        <w:tc>
          <w:tcPr>
            <w:tcW w:w="140" w:type="dxa"/>
            <w:vAlign w:val="bottom"/>
            <w:shd w:val="clear" w:color="auto" w:fill="D4EFF3"/>
          </w:tcPr>
          <w:p>
            <w:pPr>
              <w:spacing w:after="0"/>
              <w:rPr>
                <w:sz w:val="22"/>
                <w:szCs w:val="22"/>
                <w:color w:val="auto"/>
              </w:rPr>
            </w:pPr>
          </w:p>
        </w:tc>
        <w:tc>
          <w:tcPr>
            <w:tcW w:w="560" w:type="dxa"/>
            <w:vAlign w:val="bottom"/>
            <w:shd w:val="clear" w:color="auto" w:fill="D4EFF3"/>
          </w:tcPr>
          <w:p>
            <w:pPr>
              <w:spacing w:after="0"/>
              <w:rPr>
                <w:sz w:val="22"/>
                <w:szCs w:val="22"/>
                <w:color w:val="auto"/>
              </w:rPr>
            </w:pPr>
          </w:p>
        </w:tc>
        <w:tc>
          <w:tcPr>
            <w:tcW w:w="10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353</w:t>
            </w:r>
          </w:p>
        </w:tc>
        <w:tc>
          <w:tcPr>
            <w:tcW w:w="0" w:type="dxa"/>
            <w:vAlign w:val="bottom"/>
          </w:tcPr>
          <w:p>
            <w:pPr>
              <w:spacing w:after="0"/>
              <w:rPr>
                <w:sz w:val="1"/>
                <w:szCs w:val="1"/>
                <w:color w:val="auto"/>
              </w:rPr>
            </w:pPr>
          </w:p>
        </w:tc>
      </w:tr>
      <w:tr>
        <w:trPr>
          <w:trHeight w:val="232"/>
        </w:trPr>
        <w:tc>
          <w:tcPr>
            <w:tcW w:w="5980" w:type="dxa"/>
            <w:vAlign w:val="bottom"/>
          </w:tcPr>
          <w:p>
            <w:pPr>
              <w:ind w:left="280"/>
              <w:spacing w:after="0"/>
              <w:rPr>
                <w:sz w:val="20"/>
                <w:szCs w:val="20"/>
                <w:color w:val="auto"/>
              </w:rPr>
            </w:pPr>
            <w:r>
              <w:rPr>
                <w:rFonts w:ascii="Arial" w:cs="Arial" w:eastAsia="Arial" w:hAnsi="Arial"/>
                <w:sz w:val="19"/>
                <w:szCs w:val="19"/>
                <w:color w:val="auto"/>
              </w:rPr>
              <w:t>Operating lease, right-of-use ("ROU") asset</w:t>
            </w:r>
          </w:p>
        </w:tc>
        <w:tc>
          <w:tcPr>
            <w:tcW w:w="44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9,099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6,731</w:t>
            </w:r>
          </w:p>
        </w:tc>
        <w:tc>
          <w:tcPr>
            <w:tcW w:w="0" w:type="dxa"/>
            <w:vAlign w:val="bottom"/>
          </w:tcPr>
          <w:p>
            <w:pPr>
              <w:spacing w:after="0"/>
              <w:rPr>
                <w:sz w:val="1"/>
                <w:szCs w:val="1"/>
                <w:color w:val="auto"/>
              </w:rPr>
            </w:pPr>
          </w:p>
        </w:tc>
      </w:tr>
      <w:tr>
        <w:trPr>
          <w:trHeight w:val="241"/>
        </w:trPr>
        <w:tc>
          <w:tcPr>
            <w:tcW w:w="5980" w:type="dxa"/>
            <w:vAlign w:val="bottom"/>
            <w:tcBorders>
              <w:bottom w:val="single" w:sz="8" w:color="D4EFF3"/>
            </w:tcBorders>
            <w:shd w:val="clear" w:color="auto" w:fill="D4EFF3"/>
          </w:tcPr>
          <w:p>
            <w:pPr>
              <w:ind w:left="280"/>
              <w:spacing w:after="0"/>
              <w:rPr>
                <w:sz w:val="20"/>
                <w:szCs w:val="20"/>
                <w:color w:val="auto"/>
              </w:rPr>
            </w:pPr>
            <w:r>
              <w:rPr>
                <w:rFonts w:ascii="Arial" w:cs="Arial" w:eastAsia="Arial" w:hAnsi="Arial"/>
                <w:sz w:val="19"/>
                <w:szCs w:val="19"/>
                <w:color w:val="auto"/>
              </w:rPr>
              <w:t>Restricted cash</w:t>
            </w:r>
          </w:p>
        </w:tc>
        <w:tc>
          <w:tcPr>
            <w:tcW w:w="440" w:type="dxa"/>
            <w:vAlign w:val="bottom"/>
            <w:tcBorders>
              <w:bottom w:val="single" w:sz="8" w:color="auto"/>
            </w:tcBorders>
            <w:shd w:val="clear" w:color="auto" w:fill="D4EFF3"/>
          </w:tcPr>
          <w:p>
            <w:pPr>
              <w:spacing w:after="0"/>
              <w:rPr>
                <w:sz w:val="20"/>
                <w:szCs w:val="20"/>
                <w:color w:val="auto"/>
              </w:rPr>
            </w:pPr>
          </w:p>
        </w:tc>
        <w:tc>
          <w:tcPr>
            <w:tcW w:w="116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568</w:t>
            </w:r>
          </w:p>
        </w:tc>
        <w:tc>
          <w:tcPr>
            <w:tcW w:w="140" w:type="dxa"/>
            <w:vAlign w:val="bottom"/>
            <w:tcBorders>
              <w:bottom w:val="single" w:sz="8" w:color="D4EFF3"/>
            </w:tcBorders>
            <w:shd w:val="clear" w:color="auto" w:fill="D4EFF3"/>
          </w:tcPr>
          <w:p>
            <w:pPr>
              <w:spacing w:after="0"/>
              <w:rPr>
                <w:sz w:val="20"/>
                <w:szCs w:val="20"/>
                <w:color w:val="auto"/>
              </w:rPr>
            </w:pPr>
          </w:p>
        </w:tc>
        <w:tc>
          <w:tcPr>
            <w:tcW w:w="560" w:type="dxa"/>
            <w:vAlign w:val="bottom"/>
            <w:tcBorders>
              <w:bottom w:val="single" w:sz="8" w:color="auto"/>
            </w:tcBorders>
            <w:shd w:val="clear" w:color="auto" w:fill="D4EFF3"/>
          </w:tcPr>
          <w:p>
            <w:pPr>
              <w:spacing w:after="0"/>
              <w:rPr>
                <w:sz w:val="20"/>
                <w:szCs w:val="20"/>
                <w:color w:val="auto"/>
              </w:rPr>
            </w:pPr>
          </w:p>
        </w:tc>
        <w:tc>
          <w:tcPr>
            <w:tcW w:w="10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568</w:t>
            </w:r>
          </w:p>
        </w:tc>
        <w:tc>
          <w:tcPr>
            <w:tcW w:w="0" w:type="dxa"/>
            <w:vAlign w:val="bottom"/>
          </w:tcPr>
          <w:p>
            <w:pPr>
              <w:spacing w:after="0"/>
              <w:rPr>
                <w:sz w:val="1"/>
                <w:szCs w:val="1"/>
                <w:color w:val="auto"/>
              </w:rPr>
            </w:pPr>
          </w:p>
        </w:tc>
      </w:tr>
      <w:tr>
        <w:trPr>
          <w:trHeight w:val="256"/>
        </w:trPr>
        <w:tc>
          <w:tcPr>
            <w:tcW w:w="5980" w:type="dxa"/>
            <w:vAlign w:val="bottom"/>
          </w:tcPr>
          <w:p>
            <w:pPr>
              <w:ind w:left="540"/>
              <w:spacing w:after="0"/>
              <w:rPr>
                <w:sz w:val="20"/>
                <w:szCs w:val="20"/>
                <w:color w:val="auto"/>
              </w:rPr>
            </w:pPr>
            <w:r>
              <w:rPr>
                <w:rFonts w:ascii="Arial" w:cs="Arial" w:eastAsia="Arial" w:hAnsi="Arial"/>
                <w:sz w:val="19"/>
                <w:szCs w:val="19"/>
                <w:color w:val="auto"/>
              </w:rPr>
              <w:t>Total assets</w:t>
            </w:r>
          </w:p>
        </w:tc>
        <w:tc>
          <w:tcPr>
            <w:tcW w:w="44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219,588</w:t>
            </w:r>
          </w:p>
        </w:tc>
        <w:tc>
          <w:tcPr>
            <w:tcW w:w="700" w:type="dxa"/>
            <w:vAlign w:val="bottom"/>
            <w:gridSpan w:val="2"/>
          </w:tcPr>
          <w:p>
            <w:pPr>
              <w:jc w:val="right"/>
              <w:ind w:right="206"/>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140,403</w:t>
            </w:r>
          </w:p>
        </w:tc>
        <w:tc>
          <w:tcPr>
            <w:tcW w:w="0" w:type="dxa"/>
            <w:vAlign w:val="bottom"/>
          </w:tcPr>
          <w:p>
            <w:pPr>
              <w:spacing w:after="0"/>
              <w:rPr>
                <w:sz w:val="1"/>
                <w:szCs w:val="1"/>
                <w:color w:val="auto"/>
              </w:rPr>
            </w:pPr>
          </w:p>
        </w:tc>
      </w:tr>
      <w:tr>
        <w:trPr>
          <w:trHeight w:val="247"/>
        </w:trPr>
        <w:tc>
          <w:tcPr>
            <w:tcW w:w="5980" w:type="dxa"/>
            <w:vAlign w:val="bottom"/>
            <w:tcBorders>
              <w:top w:val="single" w:sz="8" w:color="D4EFF3"/>
            </w:tcBorders>
            <w:shd w:val="clear" w:color="auto" w:fill="D4EFF3"/>
          </w:tcPr>
          <w:p>
            <w:pPr>
              <w:ind w:left="20"/>
              <w:spacing w:after="0"/>
              <w:rPr>
                <w:sz w:val="20"/>
                <w:szCs w:val="20"/>
                <w:color w:val="auto"/>
              </w:rPr>
            </w:pPr>
            <w:r>
              <w:rPr>
                <w:rFonts w:ascii="Arial" w:cs="Arial" w:eastAsia="Arial" w:hAnsi="Arial"/>
                <w:sz w:val="19"/>
                <w:szCs w:val="19"/>
                <w:b w:val="1"/>
                <w:bCs w:val="1"/>
                <w:color w:val="auto"/>
              </w:rPr>
              <w:t>Liabilities and Stockholders' Equity</w:t>
            </w:r>
          </w:p>
        </w:tc>
        <w:tc>
          <w:tcPr>
            <w:tcW w:w="440" w:type="dxa"/>
            <w:vAlign w:val="bottom"/>
            <w:tcBorders>
              <w:top w:val="single" w:sz="8" w:color="auto"/>
            </w:tcBorders>
            <w:shd w:val="clear" w:color="auto" w:fill="D4EFF3"/>
          </w:tcPr>
          <w:p>
            <w:pPr>
              <w:spacing w:after="0"/>
              <w:rPr>
                <w:sz w:val="21"/>
                <w:szCs w:val="21"/>
                <w:color w:val="auto"/>
              </w:rPr>
            </w:pPr>
          </w:p>
        </w:tc>
        <w:tc>
          <w:tcPr>
            <w:tcW w:w="1160" w:type="dxa"/>
            <w:vAlign w:val="bottom"/>
            <w:tcBorders>
              <w:top w:val="single" w:sz="8" w:color="auto"/>
            </w:tcBorders>
            <w:shd w:val="clear" w:color="auto" w:fill="D4EFF3"/>
          </w:tcPr>
          <w:p>
            <w:pPr>
              <w:spacing w:after="0"/>
              <w:rPr>
                <w:sz w:val="21"/>
                <w:szCs w:val="21"/>
                <w:color w:val="auto"/>
              </w:rPr>
            </w:pPr>
          </w:p>
        </w:tc>
        <w:tc>
          <w:tcPr>
            <w:tcW w:w="140" w:type="dxa"/>
            <w:vAlign w:val="bottom"/>
            <w:tcBorders>
              <w:top w:val="single" w:sz="8" w:color="D4EFF3"/>
            </w:tcBorders>
            <w:shd w:val="clear" w:color="auto" w:fill="D4EFF3"/>
          </w:tcPr>
          <w:p>
            <w:pPr>
              <w:spacing w:after="0"/>
              <w:rPr>
                <w:sz w:val="21"/>
                <w:szCs w:val="21"/>
                <w:color w:val="auto"/>
              </w:rPr>
            </w:pPr>
          </w:p>
        </w:tc>
        <w:tc>
          <w:tcPr>
            <w:tcW w:w="560" w:type="dxa"/>
            <w:vAlign w:val="bottom"/>
            <w:tcBorders>
              <w:top w:val="single" w:sz="8" w:color="auto"/>
            </w:tcBorders>
            <w:shd w:val="clear" w:color="auto" w:fill="D4EFF3"/>
          </w:tcPr>
          <w:p>
            <w:pPr>
              <w:spacing w:after="0"/>
              <w:rPr>
                <w:sz w:val="21"/>
                <w:szCs w:val="21"/>
                <w:color w:val="auto"/>
              </w:rPr>
            </w:pPr>
          </w:p>
        </w:tc>
        <w:tc>
          <w:tcPr>
            <w:tcW w:w="1040" w:type="dxa"/>
            <w:vAlign w:val="bottom"/>
            <w:tcBorders>
              <w:top w:val="single" w:sz="8" w:color="auto"/>
            </w:tcBorders>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9"/>
                <w:szCs w:val="19"/>
                <w:color w:val="auto"/>
              </w:rPr>
              <w:t>Current liabilities:</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980" w:type="dxa"/>
            <w:vAlign w:val="bottom"/>
            <w:shd w:val="clear" w:color="auto" w:fill="D4EFF3"/>
          </w:tcPr>
          <w:p>
            <w:pPr>
              <w:ind w:left="280"/>
              <w:spacing w:after="0"/>
              <w:rPr>
                <w:sz w:val="20"/>
                <w:szCs w:val="20"/>
                <w:color w:val="auto"/>
              </w:rPr>
            </w:pPr>
            <w:r>
              <w:rPr>
                <w:rFonts w:ascii="Arial" w:cs="Arial" w:eastAsia="Arial" w:hAnsi="Arial"/>
                <w:sz w:val="19"/>
                <w:szCs w:val="19"/>
                <w:color w:val="auto"/>
              </w:rPr>
              <w:t>Accounts payable</w:t>
            </w:r>
          </w:p>
        </w:tc>
        <w:tc>
          <w:tcPr>
            <w:tcW w:w="440" w:type="dxa"/>
            <w:vAlign w:val="bottom"/>
            <w:shd w:val="clear" w:color="auto" w:fill="D4EFF3"/>
          </w:tcPr>
          <w:p>
            <w:pPr>
              <w:jc w:val="right"/>
              <w:ind w:right="126"/>
              <w:spacing w:after="0"/>
              <w:rPr>
                <w:sz w:val="20"/>
                <w:szCs w:val="20"/>
                <w:color w:val="auto"/>
              </w:rPr>
            </w:pPr>
            <w:r>
              <w:rPr>
                <w:rFonts w:ascii="Arial" w:cs="Arial" w:eastAsia="Arial" w:hAnsi="Arial"/>
                <w:sz w:val="19"/>
                <w:szCs w:val="19"/>
                <w:color w:val="auto"/>
              </w:rPr>
              <w:t>$</w:t>
            </w:r>
          </w:p>
        </w:tc>
        <w:tc>
          <w:tcPr>
            <w:tcW w:w="116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1,585</w:t>
            </w:r>
          </w:p>
        </w:tc>
        <w:tc>
          <w:tcPr>
            <w:tcW w:w="700" w:type="dxa"/>
            <w:vAlign w:val="bottom"/>
            <w:gridSpan w:val="2"/>
            <w:shd w:val="clear" w:color="auto" w:fill="D4EFF3"/>
          </w:tcPr>
          <w:p>
            <w:pPr>
              <w:jc w:val="right"/>
              <w:ind w:right="226"/>
              <w:spacing w:after="0"/>
              <w:rPr>
                <w:sz w:val="20"/>
                <w:szCs w:val="20"/>
                <w:color w:val="auto"/>
              </w:rPr>
            </w:pPr>
            <w:r>
              <w:rPr>
                <w:rFonts w:ascii="Arial" w:cs="Arial" w:eastAsia="Arial" w:hAnsi="Arial"/>
                <w:sz w:val="19"/>
                <w:szCs w:val="19"/>
                <w:color w:val="auto"/>
              </w:rPr>
              <w:t>$</w:t>
            </w:r>
          </w:p>
        </w:tc>
        <w:tc>
          <w:tcPr>
            <w:tcW w:w="10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2,249</w:t>
            </w:r>
          </w:p>
        </w:tc>
        <w:tc>
          <w:tcPr>
            <w:tcW w:w="0" w:type="dxa"/>
            <w:vAlign w:val="bottom"/>
          </w:tcPr>
          <w:p>
            <w:pPr>
              <w:spacing w:after="0"/>
              <w:rPr>
                <w:sz w:val="1"/>
                <w:szCs w:val="1"/>
                <w:color w:val="auto"/>
              </w:rPr>
            </w:pPr>
          </w:p>
        </w:tc>
      </w:tr>
      <w:tr>
        <w:trPr>
          <w:trHeight w:val="232"/>
        </w:trPr>
        <w:tc>
          <w:tcPr>
            <w:tcW w:w="5980" w:type="dxa"/>
            <w:vAlign w:val="bottom"/>
          </w:tcPr>
          <w:p>
            <w:pPr>
              <w:ind w:left="280"/>
              <w:spacing w:after="0"/>
              <w:rPr>
                <w:sz w:val="20"/>
                <w:szCs w:val="20"/>
                <w:color w:val="auto"/>
              </w:rPr>
            </w:pPr>
            <w:r>
              <w:rPr>
                <w:rFonts w:ascii="Arial" w:cs="Arial" w:eastAsia="Arial" w:hAnsi="Arial"/>
                <w:sz w:val="19"/>
                <w:szCs w:val="19"/>
                <w:color w:val="auto"/>
              </w:rPr>
              <w:t>Accrued expenses</w:t>
            </w:r>
          </w:p>
        </w:tc>
        <w:tc>
          <w:tcPr>
            <w:tcW w:w="44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11,383</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6,287</w:t>
            </w:r>
          </w:p>
        </w:tc>
        <w:tc>
          <w:tcPr>
            <w:tcW w:w="0" w:type="dxa"/>
            <w:vAlign w:val="bottom"/>
          </w:tcPr>
          <w:p>
            <w:pPr>
              <w:spacing w:after="0"/>
              <w:rPr>
                <w:sz w:val="1"/>
                <w:szCs w:val="1"/>
                <w:color w:val="auto"/>
              </w:rPr>
            </w:pPr>
          </w:p>
        </w:tc>
      </w:tr>
      <w:tr>
        <w:trPr>
          <w:trHeight w:val="241"/>
        </w:trPr>
        <w:tc>
          <w:tcPr>
            <w:tcW w:w="5980" w:type="dxa"/>
            <w:vAlign w:val="bottom"/>
            <w:tcBorders>
              <w:bottom w:val="single" w:sz="8" w:color="D4EFF3"/>
            </w:tcBorders>
            <w:shd w:val="clear" w:color="auto" w:fill="D4EFF3"/>
          </w:tcPr>
          <w:p>
            <w:pPr>
              <w:ind w:left="280"/>
              <w:spacing w:after="0"/>
              <w:rPr>
                <w:sz w:val="20"/>
                <w:szCs w:val="20"/>
                <w:color w:val="auto"/>
              </w:rPr>
            </w:pPr>
            <w:r>
              <w:rPr>
                <w:rFonts w:ascii="Arial" w:cs="Arial" w:eastAsia="Arial" w:hAnsi="Arial"/>
                <w:sz w:val="19"/>
                <w:szCs w:val="19"/>
                <w:color w:val="auto"/>
              </w:rPr>
              <w:t>Operating lease obligations, current portion</w:t>
            </w:r>
          </w:p>
        </w:tc>
        <w:tc>
          <w:tcPr>
            <w:tcW w:w="440" w:type="dxa"/>
            <w:vAlign w:val="bottom"/>
            <w:tcBorders>
              <w:bottom w:val="single" w:sz="8" w:color="auto"/>
            </w:tcBorders>
            <w:shd w:val="clear" w:color="auto" w:fill="D4EFF3"/>
          </w:tcPr>
          <w:p>
            <w:pPr>
              <w:spacing w:after="0"/>
              <w:rPr>
                <w:sz w:val="20"/>
                <w:szCs w:val="20"/>
                <w:color w:val="auto"/>
              </w:rPr>
            </w:pPr>
          </w:p>
        </w:tc>
        <w:tc>
          <w:tcPr>
            <w:tcW w:w="116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1,000</w:t>
            </w:r>
          </w:p>
        </w:tc>
        <w:tc>
          <w:tcPr>
            <w:tcW w:w="140" w:type="dxa"/>
            <w:vAlign w:val="bottom"/>
            <w:tcBorders>
              <w:bottom w:val="single" w:sz="8" w:color="D4EFF3"/>
            </w:tcBorders>
            <w:shd w:val="clear" w:color="auto" w:fill="D4EFF3"/>
          </w:tcPr>
          <w:p>
            <w:pPr>
              <w:spacing w:after="0"/>
              <w:rPr>
                <w:sz w:val="20"/>
                <w:szCs w:val="20"/>
                <w:color w:val="auto"/>
              </w:rPr>
            </w:pPr>
          </w:p>
        </w:tc>
        <w:tc>
          <w:tcPr>
            <w:tcW w:w="560" w:type="dxa"/>
            <w:vAlign w:val="bottom"/>
            <w:tcBorders>
              <w:bottom w:val="single" w:sz="8" w:color="auto"/>
            </w:tcBorders>
            <w:shd w:val="clear" w:color="auto" w:fill="D4EFF3"/>
          </w:tcPr>
          <w:p>
            <w:pPr>
              <w:spacing w:after="0"/>
              <w:rPr>
                <w:sz w:val="20"/>
                <w:szCs w:val="20"/>
                <w:color w:val="auto"/>
              </w:rPr>
            </w:pPr>
          </w:p>
        </w:tc>
        <w:tc>
          <w:tcPr>
            <w:tcW w:w="10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338</w:t>
            </w:r>
          </w:p>
        </w:tc>
        <w:tc>
          <w:tcPr>
            <w:tcW w:w="0" w:type="dxa"/>
            <w:vAlign w:val="bottom"/>
          </w:tcPr>
          <w:p>
            <w:pPr>
              <w:spacing w:after="0"/>
              <w:rPr>
                <w:sz w:val="1"/>
                <w:szCs w:val="1"/>
                <w:color w:val="auto"/>
              </w:rPr>
            </w:pPr>
          </w:p>
        </w:tc>
      </w:tr>
      <w:tr>
        <w:trPr>
          <w:trHeight w:val="232"/>
        </w:trPr>
        <w:tc>
          <w:tcPr>
            <w:tcW w:w="5980" w:type="dxa"/>
            <w:vAlign w:val="bottom"/>
          </w:tcPr>
          <w:p>
            <w:pPr>
              <w:ind w:left="540"/>
              <w:spacing w:after="0"/>
              <w:rPr>
                <w:sz w:val="20"/>
                <w:szCs w:val="20"/>
                <w:color w:val="auto"/>
              </w:rPr>
            </w:pPr>
            <w:r>
              <w:rPr>
                <w:rFonts w:ascii="Arial" w:cs="Arial" w:eastAsia="Arial" w:hAnsi="Arial"/>
                <w:sz w:val="19"/>
                <w:szCs w:val="19"/>
                <w:color w:val="auto"/>
              </w:rPr>
              <w:t>Total current liabilities</w:t>
            </w:r>
          </w:p>
        </w:tc>
        <w:tc>
          <w:tcPr>
            <w:tcW w:w="44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13,968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8,874</w:t>
            </w:r>
          </w:p>
        </w:tc>
        <w:tc>
          <w:tcPr>
            <w:tcW w:w="0" w:type="dxa"/>
            <w:vAlign w:val="bottom"/>
          </w:tcPr>
          <w:p>
            <w:pPr>
              <w:spacing w:after="0"/>
              <w:rPr>
                <w:sz w:val="1"/>
                <w:szCs w:val="1"/>
                <w:color w:val="auto"/>
              </w:rPr>
            </w:pPr>
          </w:p>
        </w:tc>
      </w:tr>
      <w:tr>
        <w:trPr>
          <w:trHeight w:val="241"/>
        </w:trPr>
        <w:tc>
          <w:tcPr>
            <w:tcW w:w="598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9"/>
                <w:szCs w:val="19"/>
                <w:color w:val="auto"/>
              </w:rPr>
              <w:t>Operating lease obligations, net of current portion</w:t>
            </w:r>
          </w:p>
        </w:tc>
        <w:tc>
          <w:tcPr>
            <w:tcW w:w="440" w:type="dxa"/>
            <w:vAlign w:val="bottom"/>
            <w:tcBorders>
              <w:bottom w:val="single" w:sz="8" w:color="auto"/>
            </w:tcBorders>
            <w:shd w:val="clear" w:color="auto" w:fill="D4EFF3"/>
          </w:tcPr>
          <w:p>
            <w:pPr>
              <w:spacing w:after="0"/>
              <w:rPr>
                <w:sz w:val="20"/>
                <w:szCs w:val="20"/>
                <w:color w:val="auto"/>
              </w:rPr>
            </w:pPr>
          </w:p>
        </w:tc>
        <w:tc>
          <w:tcPr>
            <w:tcW w:w="116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8,829</w:t>
            </w:r>
          </w:p>
        </w:tc>
        <w:tc>
          <w:tcPr>
            <w:tcW w:w="140" w:type="dxa"/>
            <w:vAlign w:val="bottom"/>
            <w:tcBorders>
              <w:bottom w:val="single" w:sz="8" w:color="D4EFF3"/>
            </w:tcBorders>
            <w:shd w:val="clear" w:color="auto" w:fill="D4EFF3"/>
          </w:tcPr>
          <w:p>
            <w:pPr>
              <w:spacing w:after="0"/>
              <w:rPr>
                <w:sz w:val="20"/>
                <w:szCs w:val="20"/>
                <w:color w:val="auto"/>
              </w:rPr>
            </w:pPr>
          </w:p>
        </w:tc>
        <w:tc>
          <w:tcPr>
            <w:tcW w:w="560" w:type="dxa"/>
            <w:vAlign w:val="bottom"/>
            <w:tcBorders>
              <w:bottom w:val="single" w:sz="8" w:color="auto"/>
            </w:tcBorders>
            <w:shd w:val="clear" w:color="auto" w:fill="D4EFF3"/>
          </w:tcPr>
          <w:p>
            <w:pPr>
              <w:spacing w:after="0"/>
              <w:rPr>
                <w:sz w:val="20"/>
                <w:szCs w:val="20"/>
                <w:color w:val="auto"/>
              </w:rPr>
            </w:pPr>
          </w:p>
        </w:tc>
        <w:tc>
          <w:tcPr>
            <w:tcW w:w="10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6,296</w:t>
            </w:r>
          </w:p>
        </w:tc>
        <w:tc>
          <w:tcPr>
            <w:tcW w:w="0" w:type="dxa"/>
            <w:vAlign w:val="bottom"/>
          </w:tcPr>
          <w:p>
            <w:pPr>
              <w:spacing w:after="0"/>
              <w:rPr>
                <w:sz w:val="1"/>
                <w:szCs w:val="1"/>
                <w:color w:val="auto"/>
              </w:rPr>
            </w:pPr>
          </w:p>
        </w:tc>
      </w:tr>
      <w:tr>
        <w:trPr>
          <w:trHeight w:val="227"/>
        </w:trPr>
        <w:tc>
          <w:tcPr>
            <w:tcW w:w="5980" w:type="dxa"/>
            <w:vAlign w:val="bottom"/>
          </w:tcPr>
          <w:p>
            <w:pPr>
              <w:ind w:left="540"/>
              <w:spacing w:after="0"/>
              <w:rPr>
                <w:sz w:val="20"/>
                <w:szCs w:val="20"/>
                <w:color w:val="auto"/>
              </w:rPr>
            </w:pPr>
            <w:r>
              <w:rPr>
                <w:rFonts w:ascii="Arial" w:cs="Arial" w:eastAsia="Arial" w:hAnsi="Arial"/>
                <w:sz w:val="19"/>
                <w:szCs w:val="19"/>
                <w:color w:val="auto"/>
              </w:rPr>
              <w:t>Total liabilities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22,797</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15,170</w:t>
            </w: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980" w:type="dxa"/>
            <w:vAlign w:val="bottom"/>
            <w:shd w:val="clear" w:color="auto" w:fill="D4EFF3"/>
          </w:tcPr>
          <w:p>
            <w:pPr>
              <w:ind w:left="20"/>
              <w:spacing w:after="0"/>
              <w:rPr>
                <w:sz w:val="20"/>
                <w:szCs w:val="20"/>
                <w:color w:val="auto"/>
              </w:rPr>
            </w:pPr>
            <w:r>
              <w:rPr>
                <w:rFonts w:ascii="Arial" w:cs="Arial" w:eastAsia="Arial" w:hAnsi="Arial"/>
                <w:sz w:val="19"/>
                <w:szCs w:val="19"/>
                <w:color w:val="auto"/>
              </w:rPr>
              <w:t>Commitments and Contingencies (Note 12)</w:t>
            </w:r>
          </w:p>
        </w:tc>
        <w:tc>
          <w:tcPr>
            <w:tcW w:w="440" w:type="dxa"/>
            <w:vAlign w:val="bottom"/>
            <w:shd w:val="clear" w:color="auto" w:fill="D4EFF3"/>
          </w:tcPr>
          <w:p>
            <w:pPr>
              <w:spacing w:after="0"/>
              <w:rPr>
                <w:sz w:val="22"/>
                <w:szCs w:val="22"/>
                <w:color w:val="auto"/>
              </w:rPr>
            </w:pPr>
          </w:p>
        </w:tc>
        <w:tc>
          <w:tcPr>
            <w:tcW w:w="1160" w:type="dxa"/>
            <w:vAlign w:val="bottom"/>
            <w:shd w:val="clear" w:color="auto" w:fill="D4EFF3"/>
          </w:tcPr>
          <w:p>
            <w:pPr>
              <w:spacing w:after="0"/>
              <w:rPr>
                <w:sz w:val="22"/>
                <w:szCs w:val="22"/>
                <w:color w:val="auto"/>
              </w:rPr>
            </w:pPr>
          </w:p>
        </w:tc>
        <w:tc>
          <w:tcPr>
            <w:tcW w:w="140" w:type="dxa"/>
            <w:vAlign w:val="bottom"/>
            <w:shd w:val="clear" w:color="auto" w:fill="D4EFF3"/>
          </w:tcPr>
          <w:p>
            <w:pPr>
              <w:spacing w:after="0"/>
              <w:rPr>
                <w:sz w:val="22"/>
                <w:szCs w:val="22"/>
                <w:color w:val="auto"/>
              </w:rPr>
            </w:pPr>
          </w:p>
        </w:tc>
        <w:tc>
          <w:tcPr>
            <w:tcW w:w="560" w:type="dxa"/>
            <w:vAlign w:val="bottom"/>
            <w:shd w:val="clear" w:color="auto" w:fill="D4EFF3"/>
          </w:tcPr>
          <w:p>
            <w:pPr>
              <w:spacing w:after="0"/>
              <w:rPr>
                <w:sz w:val="22"/>
                <w:szCs w:val="22"/>
                <w:color w:val="auto"/>
              </w:rPr>
            </w:pPr>
          </w:p>
        </w:tc>
        <w:tc>
          <w:tcPr>
            <w:tcW w:w="1040" w:type="dxa"/>
            <w:vAlign w:val="bottom"/>
            <w:shd w:val="clear" w:color="auto" w:fill="D4EFF3"/>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9"/>
                <w:szCs w:val="19"/>
                <w:color w:val="auto"/>
              </w:rPr>
              <w:t>Stockholders' equity:</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shd w:val="clear" w:color="auto" w:fill="D4EFF3"/>
          </w:tcPr>
          <w:p>
            <w:pPr>
              <w:ind w:left="280"/>
              <w:spacing w:after="0"/>
              <w:rPr>
                <w:sz w:val="20"/>
                <w:szCs w:val="20"/>
                <w:color w:val="auto"/>
              </w:rPr>
            </w:pPr>
            <w:r>
              <w:rPr>
                <w:rFonts w:ascii="Arial" w:cs="Arial" w:eastAsia="Arial" w:hAnsi="Arial"/>
                <w:sz w:val="17"/>
                <w:szCs w:val="17"/>
                <w:color w:val="auto"/>
              </w:rPr>
              <w:t>Common stock, $0.0001 par value: 300,000 shares authorized;</w:t>
            </w:r>
          </w:p>
        </w:tc>
        <w:tc>
          <w:tcPr>
            <w:tcW w:w="440" w:type="dxa"/>
            <w:vAlign w:val="bottom"/>
            <w:shd w:val="clear" w:color="auto" w:fill="D4EFF3"/>
          </w:tcPr>
          <w:p>
            <w:pPr>
              <w:spacing w:after="0"/>
              <w:rPr>
                <w:sz w:val="20"/>
                <w:szCs w:val="20"/>
                <w:color w:val="auto"/>
              </w:rPr>
            </w:pPr>
          </w:p>
        </w:tc>
        <w:tc>
          <w:tcPr>
            <w:tcW w:w="1160" w:type="dxa"/>
            <w:vAlign w:val="bottom"/>
            <w:shd w:val="clear" w:color="auto" w:fill="D4EFF3"/>
          </w:tcPr>
          <w:p>
            <w:pPr>
              <w:spacing w:after="0"/>
              <w:rPr>
                <w:sz w:val="20"/>
                <w:szCs w:val="20"/>
                <w:color w:val="auto"/>
              </w:rPr>
            </w:pPr>
          </w:p>
        </w:tc>
        <w:tc>
          <w:tcPr>
            <w:tcW w:w="140" w:type="dxa"/>
            <w:vAlign w:val="bottom"/>
            <w:shd w:val="clear" w:color="auto" w:fill="D4EFF3"/>
          </w:tcPr>
          <w:p>
            <w:pPr>
              <w:spacing w:after="0"/>
              <w:rPr>
                <w:sz w:val="20"/>
                <w:szCs w:val="20"/>
                <w:color w:val="auto"/>
              </w:rPr>
            </w:pPr>
          </w:p>
        </w:tc>
        <w:tc>
          <w:tcPr>
            <w:tcW w:w="560" w:type="dxa"/>
            <w:vAlign w:val="bottom"/>
            <w:shd w:val="clear" w:color="auto" w:fill="D4EFF3"/>
          </w:tcPr>
          <w:p>
            <w:pPr>
              <w:spacing w:after="0"/>
              <w:rPr>
                <w:sz w:val="20"/>
                <w:szCs w:val="20"/>
                <w:color w:val="auto"/>
              </w:rPr>
            </w:pPr>
          </w:p>
        </w:tc>
        <w:tc>
          <w:tcPr>
            <w:tcW w:w="104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D4EFF3"/>
          </w:tcPr>
          <w:p>
            <w:pPr>
              <w:ind w:left="280"/>
              <w:spacing w:after="0"/>
              <w:rPr>
                <w:sz w:val="20"/>
                <w:szCs w:val="20"/>
                <w:color w:val="auto"/>
              </w:rPr>
            </w:pPr>
            <w:r>
              <w:rPr>
                <w:rFonts w:ascii="Arial" w:cs="Arial" w:eastAsia="Arial" w:hAnsi="Arial"/>
                <w:sz w:val="17"/>
                <w:szCs w:val="17"/>
                <w:color w:val="auto"/>
              </w:rPr>
              <w:t>178,324 shares issued and outstanding at December 31, 2025;</w:t>
            </w:r>
          </w:p>
        </w:tc>
        <w:tc>
          <w:tcPr>
            <w:tcW w:w="440" w:type="dxa"/>
            <w:vAlign w:val="bottom"/>
            <w:shd w:val="clear" w:color="auto" w:fill="D4EFF3"/>
          </w:tcPr>
          <w:p>
            <w:pPr>
              <w:spacing w:after="0"/>
              <w:rPr>
                <w:sz w:val="20"/>
                <w:szCs w:val="20"/>
                <w:color w:val="auto"/>
              </w:rPr>
            </w:pPr>
          </w:p>
        </w:tc>
        <w:tc>
          <w:tcPr>
            <w:tcW w:w="1160" w:type="dxa"/>
            <w:vAlign w:val="bottom"/>
            <w:vMerge w:val="restart"/>
            <w:shd w:val="clear" w:color="auto" w:fill="D4EFF3"/>
          </w:tcPr>
          <w:p>
            <w:pPr>
              <w:jc w:val="right"/>
              <w:ind w:right="7"/>
              <w:spacing w:after="0"/>
              <w:rPr>
                <w:sz w:val="20"/>
                <w:szCs w:val="20"/>
                <w:color w:val="auto"/>
              </w:rPr>
            </w:pPr>
            <w:r>
              <w:rPr>
                <w:rFonts w:ascii="Arial" w:cs="Arial" w:eastAsia="Arial" w:hAnsi="Arial"/>
                <w:sz w:val="19"/>
                <w:szCs w:val="19"/>
                <w:color w:val="auto"/>
              </w:rPr>
              <w:t>18</w:t>
            </w:r>
          </w:p>
        </w:tc>
        <w:tc>
          <w:tcPr>
            <w:tcW w:w="140" w:type="dxa"/>
            <w:vAlign w:val="bottom"/>
            <w:shd w:val="clear" w:color="auto" w:fill="D4EFF3"/>
          </w:tcPr>
          <w:p>
            <w:pPr>
              <w:spacing w:after="0"/>
              <w:rPr>
                <w:sz w:val="20"/>
                <w:szCs w:val="20"/>
                <w:color w:val="auto"/>
              </w:rPr>
            </w:pPr>
          </w:p>
        </w:tc>
        <w:tc>
          <w:tcPr>
            <w:tcW w:w="560" w:type="dxa"/>
            <w:vAlign w:val="bottom"/>
            <w:shd w:val="clear" w:color="auto" w:fill="D4EFF3"/>
          </w:tcPr>
          <w:p>
            <w:pPr>
              <w:spacing w:after="0"/>
              <w:rPr>
                <w:sz w:val="20"/>
                <w:szCs w:val="20"/>
                <w:color w:val="auto"/>
              </w:rPr>
            </w:pPr>
          </w:p>
        </w:tc>
        <w:tc>
          <w:tcPr>
            <w:tcW w:w="1040" w:type="dxa"/>
            <w:vAlign w:val="bottom"/>
            <w:vMerge w:val="restart"/>
            <w:shd w:val="clear" w:color="auto" w:fill="D4EFF3"/>
          </w:tcPr>
          <w:p>
            <w:pPr>
              <w:jc w:val="right"/>
              <w:ind w:right="6"/>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09"/>
        </w:trPr>
        <w:tc>
          <w:tcPr>
            <w:tcW w:w="5980" w:type="dxa"/>
            <w:vAlign w:val="bottom"/>
            <w:shd w:val="clear" w:color="auto" w:fill="D4EFF3"/>
          </w:tcPr>
          <w:p>
            <w:pPr>
              <w:ind w:left="280"/>
              <w:spacing w:after="0"/>
              <w:rPr>
                <w:sz w:val="20"/>
                <w:szCs w:val="20"/>
                <w:color w:val="auto"/>
              </w:rPr>
            </w:pPr>
            <w:r>
              <w:rPr>
                <w:rFonts w:ascii="Arial" w:cs="Arial" w:eastAsia="Arial" w:hAnsi="Arial"/>
                <w:sz w:val="17"/>
                <w:szCs w:val="17"/>
                <w:color w:val="auto"/>
              </w:rPr>
              <w:t>137,820 shares issued and outstanding at December 31, 2024</w:t>
            </w:r>
          </w:p>
        </w:tc>
        <w:tc>
          <w:tcPr>
            <w:tcW w:w="440" w:type="dxa"/>
            <w:vAlign w:val="bottom"/>
            <w:shd w:val="clear" w:color="auto" w:fill="D4EFF3"/>
          </w:tcPr>
          <w:p>
            <w:pPr>
              <w:spacing w:after="0"/>
              <w:rPr>
                <w:sz w:val="18"/>
                <w:szCs w:val="18"/>
                <w:color w:val="auto"/>
              </w:rPr>
            </w:pPr>
          </w:p>
        </w:tc>
        <w:tc>
          <w:tcPr>
            <w:tcW w:w="1160" w:type="dxa"/>
            <w:vAlign w:val="bottom"/>
            <w:vMerge w:val="continue"/>
            <w:shd w:val="clear" w:color="auto" w:fill="D4EFF3"/>
          </w:tcPr>
          <w:p>
            <w:pPr>
              <w:spacing w:after="0"/>
              <w:rPr>
                <w:sz w:val="18"/>
                <w:szCs w:val="18"/>
                <w:color w:val="auto"/>
              </w:rPr>
            </w:pPr>
          </w:p>
        </w:tc>
        <w:tc>
          <w:tcPr>
            <w:tcW w:w="140" w:type="dxa"/>
            <w:vAlign w:val="bottom"/>
            <w:shd w:val="clear" w:color="auto" w:fill="D4EFF3"/>
          </w:tcPr>
          <w:p>
            <w:pPr>
              <w:spacing w:after="0"/>
              <w:rPr>
                <w:sz w:val="18"/>
                <w:szCs w:val="18"/>
                <w:color w:val="auto"/>
              </w:rPr>
            </w:pPr>
          </w:p>
        </w:tc>
        <w:tc>
          <w:tcPr>
            <w:tcW w:w="560" w:type="dxa"/>
            <w:vAlign w:val="bottom"/>
            <w:shd w:val="clear" w:color="auto" w:fill="D4EFF3"/>
          </w:tcPr>
          <w:p>
            <w:pPr>
              <w:spacing w:after="0"/>
              <w:rPr>
                <w:sz w:val="18"/>
                <w:szCs w:val="18"/>
                <w:color w:val="auto"/>
              </w:rPr>
            </w:pPr>
          </w:p>
        </w:tc>
        <w:tc>
          <w:tcPr>
            <w:tcW w:w="1040" w:type="dxa"/>
            <w:vAlign w:val="bottom"/>
            <w:vMerge w:val="continue"/>
            <w:shd w:val="clear" w:color="auto" w:fill="D4EFF3"/>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160"/>
              <w:spacing w:after="0"/>
              <w:rPr>
                <w:sz w:val="20"/>
                <w:szCs w:val="20"/>
                <w:color w:val="auto"/>
              </w:rPr>
            </w:pPr>
            <w:r>
              <w:rPr>
                <w:rFonts w:ascii="Arial" w:cs="Arial" w:eastAsia="Arial" w:hAnsi="Arial"/>
                <w:sz w:val="19"/>
                <w:szCs w:val="19"/>
                <w:color w:val="auto"/>
              </w:rPr>
              <w:t>Additional paid-in-capital</w:t>
            </w:r>
          </w:p>
        </w:tc>
        <w:tc>
          <w:tcPr>
            <w:tcW w:w="440" w:type="dxa"/>
            <w:vAlign w:val="bottom"/>
          </w:tcPr>
          <w:p>
            <w:pPr>
              <w:spacing w:after="0"/>
              <w:rPr>
                <w:sz w:val="20"/>
                <w:szCs w:val="20"/>
                <w:color w:val="auto"/>
              </w:rPr>
            </w:pPr>
          </w:p>
        </w:tc>
        <w:tc>
          <w:tcPr>
            <w:tcW w:w="1160" w:type="dxa"/>
            <w:vAlign w:val="bottom"/>
          </w:tcPr>
          <w:p>
            <w:pPr>
              <w:jc w:val="right"/>
              <w:ind w:right="7"/>
              <w:spacing w:after="0"/>
              <w:rPr>
                <w:sz w:val="20"/>
                <w:szCs w:val="20"/>
                <w:color w:val="auto"/>
              </w:rPr>
            </w:pPr>
            <w:r>
              <w:rPr>
                <w:rFonts w:ascii="Arial" w:cs="Arial" w:eastAsia="Arial" w:hAnsi="Arial"/>
                <w:sz w:val="19"/>
                <w:szCs w:val="19"/>
                <w:color w:val="auto"/>
              </w:rPr>
              <w:t>627,665</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color w:val="auto"/>
              </w:rPr>
              <w:t>489,692</w:t>
            </w:r>
          </w:p>
        </w:tc>
        <w:tc>
          <w:tcPr>
            <w:tcW w:w="0" w:type="dxa"/>
            <w:vAlign w:val="bottom"/>
          </w:tcPr>
          <w:p>
            <w:pPr>
              <w:spacing w:after="0"/>
              <w:rPr>
                <w:sz w:val="1"/>
                <w:szCs w:val="1"/>
                <w:color w:val="auto"/>
              </w:rPr>
            </w:pPr>
          </w:p>
        </w:tc>
      </w:tr>
      <w:tr>
        <w:trPr>
          <w:trHeight w:val="261"/>
        </w:trPr>
        <w:tc>
          <w:tcPr>
            <w:tcW w:w="5980" w:type="dxa"/>
            <w:vAlign w:val="bottom"/>
            <w:shd w:val="clear" w:color="auto" w:fill="D4EFF3"/>
          </w:tcPr>
          <w:p>
            <w:pPr>
              <w:ind w:left="160"/>
              <w:spacing w:after="0"/>
              <w:rPr>
                <w:sz w:val="20"/>
                <w:szCs w:val="20"/>
                <w:color w:val="auto"/>
              </w:rPr>
            </w:pPr>
            <w:r>
              <w:rPr>
                <w:rFonts w:ascii="Arial" w:cs="Arial" w:eastAsia="Arial" w:hAnsi="Arial"/>
                <w:sz w:val="19"/>
                <w:szCs w:val="19"/>
                <w:color w:val="auto"/>
              </w:rPr>
              <w:t>Accumulated other comprehensive income</w:t>
            </w:r>
          </w:p>
        </w:tc>
        <w:tc>
          <w:tcPr>
            <w:tcW w:w="440" w:type="dxa"/>
            <w:vAlign w:val="bottom"/>
            <w:shd w:val="clear" w:color="auto" w:fill="D4EFF3"/>
          </w:tcPr>
          <w:p>
            <w:pPr>
              <w:spacing w:after="0"/>
              <w:rPr>
                <w:sz w:val="22"/>
                <w:szCs w:val="22"/>
                <w:color w:val="auto"/>
              </w:rPr>
            </w:pPr>
          </w:p>
        </w:tc>
        <w:tc>
          <w:tcPr>
            <w:tcW w:w="1160" w:type="dxa"/>
            <w:vAlign w:val="bottom"/>
            <w:shd w:val="clear" w:color="auto" w:fill="D4EFF3"/>
          </w:tcPr>
          <w:p>
            <w:pPr>
              <w:jc w:val="right"/>
              <w:ind w:right="7"/>
              <w:spacing w:after="0"/>
              <w:rPr>
                <w:sz w:val="20"/>
                <w:szCs w:val="20"/>
                <w:color w:val="auto"/>
              </w:rPr>
            </w:pPr>
            <w:r>
              <w:rPr>
                <w:rFonts w:ascii="Arial" w:cs="Arial" w:eastAsia="Arial" w:hAnsi="Arial"/>
                <w:sz w:val="19"/>
                <w:szCs w:val="19"/>
                <w:color w:val="auto"/>
              </w:rPr>
              <w:t>280</w:t>
            </w:r>
          </w:p>
        </w:tc>
        <w:tc>
          <w:tcPr>
            <w:tcW w:w="140" w:type="dxa"/>
            <w:vAlign w:val="bottom"/>
            <w:shd w:val="clear" w:color="auto" w:fill="D4EFF3"/>
          </w:tcPr>
          <w:p>
            <w:pPr>
              <w:spacing w:after="0"/>
              <w:rPr>
                <w:sz w:val="22"/>
                <w:szCs w:val="22"/>
                <w:color w:val="auto"/>
              </w:rPr>
            </w:pPr>
          </w:p>
        </w:tc>
        <w:tc>
          <w:tcPr>
            <w:tcW w:w="560" w:type="dxa"/>
            <w:vAlign w:val="bottom"/>
            <w:shd w:val="clear" w:color="auto" w:fill="D4EFF3"/>
          </w:tcPr>
          <w:p>
            <w:pPr>
              <w:spacing w:after="0"/>
              <w:rPr>
                <w:sz w:val="22"/>
                <w:szCs w:val="22"/>
                <w:color w:val="auto"/>
              </w:rPr>
            </w:pPr>
          </w:p>
        </w:tc>
        <w:tc>
          <w:tcPr>
            <w:tcW w:w="10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232"/>
        </w:trPr>
        <w:tc>
          <w:tcPr>
            <w:tcW w:w="5980" w:type="dxa"/>
            <w:vAlign w:val="bottom"/>
            <w:tcBorders>
              <w:bottom w:val="single" w:sz="8" w:color="D4EFF3"/>
            </w:tcBorders>
          </w:tcPr>
          <w:p>
            <w:pPr>
              <w:ind w:left="160"/>
              <w:spacing w:after="0"/>
              <w:rPr>
                <w:sz w:val="20"/>
                <w:szCs w:val="20"/>
                <w:color w:val="auto"/>
              </w:rPr>
            </w:pPr>
            <w:r>
              <w:rPr>
                <w:rFonts w:ascii="Arial" w:cs="Arial" w:eastAsia="Arial" w:hAnsi="Arial"/>
                <w:sz w:val="19"/>
                <w:szCs w:val="19"/>
                <w:color w:val="auto"/>
              </w:rPr>
              <w:t>Accumulated deficit</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(431,172)</w:t>
            </w:r>
          </w:p>
        </w:tc>
        <w:tc>
          <w:tcPr>
            <w:tcW w:w="140" w:type="dxa"/>
            <w:vAlign w:val="bottom"/>
            <w:tcBorders>
              <w:bottom w:val="single" w:sz="8" w:color="D4EFF3"/>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(364,683)</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D4EFF3"/>
            </w:tcBorders>
            <w:shd w:val="clear" w:color="auto" w:fill="D4EFF3"/>
          </w:tcPr>
          <w:p>
            <w:pPr>
              <w:ind w:left="540"/>
              <w:spacing w:after="0"/>
              <w:rPr>
                <w:sz w:val="20"/>
                <w:szCs w:val="20"/>
                <w:color w:val="auto"/>
              </w:rPr>
            </w:pPr>
            <w:r>
              <w:rPr>
                <w:rFonts w:ascii="Arial" w:cs="Arial" w:eastAsia="Arial" w:hAnsi="Arial"/>
                <w:sz w:val="19"/>
                <w:szCs w:val="19"/>
                <w:color w:val="auto"/>
              </w:rPr>
              <w:t>Total stockholders' equity</w:t>
            </w:r>
          </w:p>
        </w:tc>
        <w:tc>
          <w:tcPr>
            <w:tcW w:w="440" w:type="dxa"/>
            <w:vAlign w:val="bottom"/>
            <w:tcBorders>
              <w:bottom w:val="single" w:sz="8" w:color="auto"/>
            </w:tcBorders>
            <w:shd w:val="clear" w:color="auto" w:fill="D4EFF3"/>
          </w:tcPr>
          <w:p>
            <w:pPr>
              <w:spacing w:after="0"/>
              <w:rPr>
                <w:sz w:val="21"/>
                <w:szCs w:val="21"/>
                <w:color w:val="auto"/>
              </w:rPr>
            </w:pPr>
          </w:p>
        </w:tc>
        <w:tc>
          <w:tcPr>
            <w:tcW w:w="1160" w:type="dxa"/>
            <w:vAlign w:val="bottom"/>
            <w:tcBorders>
              <w:bottom w:val="single" w:sz="8" w:color="auto"/>
            </w:tcBorders>
            <w:shd w:val="clear" w:color="auto" w:fill="D4EFF3"/>
          </w:tcPr>
          <w:p>
            <w:pPr>
              <w:jc w:val="right"/>
              <w:ind w:right="7"/>
              <w:spacing w:after="0"/>
              <w:rPr>
                <w:sz w:val="20"/>
                <w:szCs w:val="20"/>
                <w:color w:val="auto"/>
              </w:rPr>
            </w:pPr>
            <w:r>
              <w:rPr>
                <w:rFonts w:ascii="Arial" w:cs="Arial" w:eastAsia="Arial" w:hAnsi="Arial"/>
                <w:sz w:val="19"/>
                <w:szCs w:val="19"/>
                <w:color w:val="auto"/>
              </w:rPr>
              <w:t>196,791</w:t>
            </w:r>
          </w:p>
        </w:tc>
        <w:tc>
          <w:tcPr>
            <w:tcW w:w="140" w:type="dxa"/>
            <w:vAlign w:val="bottom"/>
            <w:tcBorders>
              <w:bottom w:val="single" w:sz="8" w:color="D4EFF3"/>
            </w:tcBorders>
            <w:shd w:val="clear" w:color="auto" w:fill="D4EFF3"/>
          </w:tcPr>
          <w:p>
            <w:pPr>
              <w:spacing w:after="0"/>
              <w:rPr>
                <w:sz w:val="21"/>
                <w:szCs w:val="21"/>
                <w:color w:val="auto"/>
              </w:rPr>
            </w:pPr>
          </w:p>
        </w:tc>
        <w:tc>
          <w:tcPr>
            <w:tcW w:w="560" w:type="dxa"/>
            <w:vAlign w:val="bottom"/>
            <w:tcBorders>
              <w:bottom w:val="single" w:sz="8" w:color="auto"/>
            </w:tcBorders>
            <w:shd w:val="clear" w:color="auto" w:fill="D4EFF3"/>
          </w:tcPr>
          <w:p>
            <w:pPr>
              <w:spacing w:after="0"/>
              <w:rPr>
                <w:sz w:val="21"/>
                <w:szCs w:val="21"/>
                <w:color w:val="auto"/>
              </w:rPr>
            </w:pPr>
          </w:p>
        </w:tc>
        <w:tc>
          <w:tcPr>
            <w:tcW w:w="10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125,233</w:t>
            </w:r>
          </w:p>
        </w:tc>
        <w:tc>
          <w:tcPr>
            <w:tcW w:w="0" w:type="dxa"/>
            <w:vAlign w:val="bottom"/>
          </w:tcPr>
          <w:p>
            <w:pPr>
              <w:spacing w:after="0"/>
              <w:rPr>
                <w:sz w:val="1"/>
                <w:szCs w:val="1"/>
                <w:color w:val="auto"/>
              </w:rPr>
            </w:pPr>
          </w:p>
        </w:tc>
      </w:tr>
      <w:tr>
        <w:trPr>
          <w:trHeight w:val="285"/>
        </w:trPr>
        <w:tc>
          <w:tcPr>
            <w:tcW w:w="5980" w:type="dxa"/>
            <w:vAlign w:val="bottom"/>
          </w:tcPr>
          <w:p>
            <w:pPr>
              <w:ind w:left="540"/>
              <w:spacing w:after="0"/>
              <w:rPr>
                <w:sz w:val="20"/>
                <w:szCs w:val="20"/>
                <w:color w:val="auto"/>
              </w:rPr>
            </w:pPr>
            <w:r>
              <w:rPr>
                <w:rFonts w:ascii="Arial" w:cs="Arial" w:eastAsia="Arial" w:hAnsi="Arial"/>
                <w:sz w:val="19"/>
                <w:szCs w:val="19"/>
                <w:color w:val="auto"/>
              </w:rPr>
              <w:t>Total liabilities and stockholders' equity</w:t>
            </w: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219,588</w:t>
            </w:r>
          </w:p>
        </w:tc>
        <w:tc>
          <w:tcPr>
            <w:tcW w:w="140" w:type="dxa"/>
            <w:vAlign w:val="bottom"/>
          </w:tcPr>
          <w:p>
            <w:pPr>
              <w:spacing w:after="0"/>
              <w:rPr>
                <w:sz w:val="24"/>
                <w:szCs w:val="24"/>
                <w:color w:val="auto"/>
              </w:rPr>
            </w:pPr>
          </w:p>
        </w:tc>
        <w:tc>
          <w:tcPr>
            <w:tcW w:w="56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140,403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4920615</wp:posOffset>
                </wp:positionH>
                <wp:positionV relativeFrom="paragraph">
                  <wp:posOffset>-383540</wp:posOffset>
                </wp:positionV>
                <wp:extent cx="0" cy="152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
                        </a:xfrm>
                        <a:prstGeom prst="line">
                          <a:avLst/>
                        </a:prstGeom>
                        <a:solidFill>
                          <a:srgbClr val="FFFFFF"/>
                        </a:solidFill>
                        <a:ln w="12">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45pt,-30.1999pt" to="387.45pt,-29pt" o:allowincell="f" strokecolor="#000000" strokeweight="0.0009pt"/>
            </w:pict>
          </mc:Fallback>
        </mc:AlternateConten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2240" w:h="15840" w:orient="portrait"/>
          <w:cols w:equalWidth="0" w:num="1">
            <w:col w:w="9360"/>
          </w:cols>
          <w:pgMar w:left="1440" w:top="1416" w:right="1440" w:bottom="163" w:gutter="0" w:footer="0" w:header="0"/>
        </w:sectPr>
      </w:pPr>
    </w:p>
    <w:bookmarkStart w:id="107" w:name="page108"/>
    <w:bookmarkEnd w:id="107"/>
    <w:p>
      <w:pPr>
        <w:jc w:val="center"/>
        <w:ind w:left="500" w:right="500"/>
        <w:spacing w:after="0" w:line="267" w:lineRule="auto"/>
        <w:rPr>
          <w:sz w:val="20"/>
          <w:szCs w:val="20"/>
          <w:color w:val="auto"/>
        </w:rPr>
      </w:pPr>
      <w:r>
        <w:rPr>
          <w:rFonts w:ascii="Arial" w:cs="Arial" w:eastAsia="Arial" w:hAnsi="Arial"/>
          <w:sz w:val="20"/>
          <w:szCs w:val="20"/>
          <w:b w:val="1"/>
          <w:bCs w:val="1"/>
          <w:color w:val="auto"/>
        </w:rPr>
        <w:t>Compass Therapeutics, Inc. and Subsidiaries Consolidated Statements of Operations and Comprehensive Loss (In thousands, except per share data)</w:t>
      </w:r>
    </w:p>
    <w:p>
      <w:pPr>
        <w:spacing w:after="0" w:line="286"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Year Ended December 31,</w:t>
            </w:r>
          </w:p>
        </w:tc>
      </w:tr>
      <w:tr>
        <w:trPr>
          <w:trHeight w:val="244"/>
        </w:trPr>
        <w:tc>
          <w:tcPr>
            <w:tcW w:w="48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2024</w:t>
            </w:r>
          </w:p>
        </w:tc>
      </w:tr>
      <w:tr>
        <w:trPr>
          <w:trHeight w:val="275"/>
        </w:trPr>
        <w:tc>
          <w:tcPr>
            <w:tcW w:w="4880" w:type="dxa"/>
            <w:vAlign w:val="bottom"/>
          </w:tcPr>
          <w:p>
            <w:pPr>
              <w:ind w:left="20"/>
              <w:spacing w:after="0"/>
              <w:rPr>
                <w:sz w:val="20"/>
                <w:szCs w:val="20"/>
                <w:color w:val="auto"/>
              </w:rPr>
            </w:pPr>
            <w:r>
              <w:rPr>
                <w:rFonts w:ascii="Arial" w:cs="Arial" w:eastAsia="Arial" w:hAnsi="Arial"/>
                <w:sz w:val="18"/>
                <w:szCs w:val="18"/>
                <w:color w:val="auto"/>
              </w:rPr>
              <w:t>Licensing revenue</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850</w:t>
            </w:r>
          </w:p>
        </w:tc>
      </w:tr>
      <w:tr>
        <w:trPr>
          <w:trHeight w:val="316"/>
        </w:trPr>
        <w:tc>
          <w:tcPr>
            <w:tcW w:w="488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D4EFF3"/>
            </w:tcBorders>
            <w:shd w:val="clear" w:color="auto" w:fill="D4EFF3"/>
          </w:tcPr>
          <w:p>
            <w:pPr>
              <w:spacing w:after="0"/>
              <w:rPr>
                <w:sz w:val="24"/>
                <w:szCs w:val="24"/>
                <w:color w:val="auto"/>
              </w:rPr>
            </w:pPr>
          </w:p>
        </w:tc>
        <w:tc>
          <w:tcPr>
            <w:tcW w:w="1260" w:type="dxa"/>
            <w:vAlign w:val="bottom"/>
            <w:tcBorders>
              <w:bottom w:val="single" w:sz="8" w:color="D4EFF3"/>
            </w:tcBorders>
            <w:shd w:val="clear" w:color="auto" w:fill="D4EFF3"/>
          </w:tcPr>
          <w:p>
            <w:pPr>
              <w:spacing w:after="0"/>
              <w:rPr>
                <w:sz w:val="24"/>
                <w:szCs w:val="24"/>
                <w:color w:val="auto"/>
              </w:rPr>
            </w:pPr>
          </w:p>
        </w:tc>
        <w:tc>
          <w:tcPr>
            <w:tcW w:w="14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D4EFF3"/>
            </w:tcBorders>
            <w:shd w:val="clear" w:color="auto" w:fill="D4EFF3"/>
          </w:tcPr>
          <w:p>
            <w:pPr>
              <w:spacing w:after="0"/>
              <w:rPr>
                <w:sz w:val="24"/>
                <w:szCs w:val="24"/>
                <w:color w:val="auto"/>
              </w:rPr>
            </w:pPr>
          </w:p>
        </w:tc>
        <w:tc>
          <w:tcPr>
            <w:tcW w:w="1260" w:type="dxa"/>
            <w:vAlign w:val="bottom"/>
            <w:tcBorders>
              <w:bottom w:val="single" w:sz="8" w:color="D4EFF3"/>
            </w:tcBorders>
            <w:shd w:val="clear" w:color="auto" w:fill="D4EFF3"/>
          </w:tcPr>
          <w:p>
            <w:pPr>
              <w:spacing w:after="0"/>
              <w:rPr>
                <w:sz w:val="24"/>
                <w:szCs w:val="24"/>
                <w:color w:val="auto"/>
              </w:rPr>
            </w:pPr>
          </w:p>
        </w:tc>
      </w:tr>
      <w:tr>
        <w:trPr>
          <w:trHeight w:val="310"/>
        </w:trPr>
        <w:tc>
          <w:tcPr>
            <w:tcW w:w="488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55,969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42,342</w:t>
            </w:r>
          </w:p>
        </w:tc>
      </w:tr>
      <w:tr>
        <w:trPr>
          <w:trHeight w:val="316"/>
        </w:trPr>
        <w:tc>
          <w:tcPr>
            <w:tcW w:w="4880" w:type="dxa"/>
            <w:vAlign w:val="bottom"/>
            <w:tcBorders>
              <w:bottom w:val="single" w:sz="8" w:color="D4EFF3"/>
            </w:tcBorders>
            <w:shd w:val="clear" w:color="auto" w:fill="D4EFF3"/>
          </w:tcPr>
          <w:p>
            <w:pPr>
              <w:ind w:left="30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D4EFF3"/>
          </w:tcPr>
          <w:p>
            <w:pPr>
              <w:spacing w:after="0"/>
              <w:rPr>
                <w:sz w:val="24"/>
                <w:szCs w:val="24"/>
                <w:color w:val="auto"/>
              </w:rPr>
            </w:pPr>
          </w:p>
        </w:tc>
        <w:tc>
          <w:tcPr>
            <w:tcW w:w="1260" w:type="dxa"/>
            <w:vAlign w:val="bottom"/>
            <w:tcBorders>
              <w:bottom w:val="single" w:sz="8" w:color="auto"/>
            </w:tcBorders>
            <w:shd w:val="clear" w:color="auto" w:fill="D4EFF3"/>
          </w:tcPr>
          <w:p>
            <w:pPr>
              <w:jc w:val="right"/>
              <w:ind w:right="12"/>
              <w:spacing w:after="0"/>
              <w:rPr>
                <w:sz w:val="20"/>
                <w:szCs w:val="20"/>
                <w:color w:val="auto"/>
              </w:rPr>
            </w:pPr>
            <w:r>
              <w:rPr>
                <w:rFonts w:ascii="Arial" w:cs="Arial" w:eastAsia="Arial" w:hAnsi="Arial"/>
                <w:sz w:val="18"/>
                <w:szCs w:val="18"/>
                <w:color w:val="auto"/>
              </w:rPr>
              <w:t>16,870</w:t>
            </w:r>
          </w:p>
        </w:tc>
        <w:tc>
          <w:tcPr>
            <w:tcW w:w="14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auto"/>
            </w:tcBorders>
            <w:shd w:val="clear" w:color="auto" w:fill="D4EFF3"/>
          </w:tcPr>
          <w:p>
            <w:pPr>
              <w:spacing w:after="0"/>
              <w:rPr>
                <w:sz w:val="24"/>
                <w:szCs w:val="24"/>
                <w:color w:val="auto"/>
              </w:rPr>
            </w:pPr>
          </w:p>
        </w:tc>
        <w:tc>
          <w:tcPr>
            <w:tcW w:w="1260" w:type="dxa"/>
            <w:vAlign w:val="bottom"/>
            <w:tcBorders>
              <w:bottom w:val="single" w:sz="8" w:color="auto"/>
            </w:tcBorders>
            <w:shd w:val="clear" w:color="auto" w:fill="D4EFF3"/>
          </w:tcPr>
          <w:p>
            <w:pPr>
              <w:jc w:val="right"/>
              <w:ind w:right="11"/>
              <w:spacing w:after="0"/>
              <w:rPr>
                <w:sz w:val="20"/>
                <w:szCs w:val="20"/>
                <w:color w:val="auto"/>
              </w:rPr>
            </w:pPr>
            <w:r>
              <w:rPr>
                <w:rFonts w:ascii="Arial" w:cs="Arial" w:eastAsia="Arial" w:hAnsi="Arial"/>
                <w:sz w:val="18"/>
                <w:szCs w:val="18"/>
                <w:color w:val="auto"/>
              </w:rPr>
              <w:t>15,133</w:t>
            </w:r>
          </w:p>
        </w:tc>
      </w:tr>
      <w:tr>
        <w:trPr>
          <w:trHeight w:val="303"/>
        </w:trPr>
        <w:tc>
          <w:tcPr>
            <w:tcW w:w="4880" w:type="dxa"/>
            <w:vAlign w:val="bottom"/>
            <w:tcBorders>
              <w:bottom w:val="single" w:sz="8" w:color="D4EFF3"/>
            </w:tcBorders>
          </w:tcPr>
          <w:p>
            <w:pPr>
              <w:ind w:left="6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72,839</w:t>
            </w:r>
          </w:p>
        </w:tc>
        <w:tc>
          <w:tcPr>
            <w:tcW w:w="140" w:type="dxa"/>
            <w:vAlign w:val="bottom"/>
            <w:tcBorders>
              <w:bottom w:val="single" w:sz="8" w:color="D4EFF3"/>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57,475</w:t>
            </w:r>
          </w:p>
        </w:tc>
      </w:tr>
      <w:tr>
        <w:trPr>
          <w:trHeight w:val="323"/>
        </w:trPr>
        <w:tc>
          <w:tcPr>
            <w:tcW w:w="4880" w:type="dxa"/>
            <w:vAlign w:val="bottom"/>
            <w:shd w:val="clear" w:color="auto" w:fill="D4EFF3"/>
          </w:tcPr>
          <w:p>
            <w:pPr>
              <w:ind w:left="60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D4EFF3"/>
          </w:tcPr>
          <w:p>
            <w:pPr>
              <w:spacing w:after="0"/>
              <w:rPr>
                <w:sz w:val="24"/>
                <w:szCs w:val="24"/>
                <w:color w:val="auto"/>
              </w:rPr>
            </w:pPr>
          </w:p>
        </w:tc>
        <w:tc>
          <w:tcPr>
            <w:tcW w:w="1260" w:type="dxa"/>
            <w:vAlign w:val="bottom"/>
            <w:shd w:val="clear" w:color="auto" w:fill="D4EFF3"/>
          </w:tcPr>
          <w:p>
            <w:pPr>
              <w:jc w:val="right"/>
              <w:spacing w:after="0"/>
              <w:rPr>
                <w:sz w:val="20"/>
                <w:szCs w:val="20"/>
                <w:color w:val="auto"/>
              </w:rPr>
            </w:pPr>
            <w:r>
              <w:rPr>
                <w:rFonts w:ascii="Arial" w:cs="Arial" w:eastAsia="Arial" w:hAnsi="Arial"/>
                <w:sz w:val="18"/>
                <w:szCs w:val="18"/>
                <w:color w:val="auto"/>
              </w:rPr>
              <w:t>(72,839)</w:t>
            </w:r>
          </w:p>
        </w:tc>
        <w:tc>
          <w:tcPr>
            <w:tcW w:w="140" w:type="dxa"/>
            <w:vAlign w:val="bottom"/>
            <w:shd w:val="clear" w:color="auto" w:fill="D4EFF3"/>
          </w:tcPr>
          <w:p>
            <w:pPr>
              <w:spacing w:after="0"/>
              <w:rPr>
                <w:sz w:val="24"/>
                <w:szCs w:val="24"/>
                <w:color w:val="auto"/>
              </w:rPr>
            </w:pPr>
          </w:p>
        </w:tc>
        <w:tc>
          <w:tcPr>
            <w:tcW w:w="440" w:type="dxa"/>
            <w:vAlign w:val="bottom"/>
            <w:shd w:val="clear" w:color="auto" w:fill="D4EFF3"/>
          </w:tcPr>
          <w:p>
            <w:pPr>
              <w:spacing w:after="0"/>
              <w:rPr>
                <w:sz w:val="24"/>
                <w:szCs w:val="24"/>
                <w:color w:val="auto"/>
              </w:rPr>
            </w:pPr>
          </w:p>
        </w:tc>
        <w:tc>
          <w:tcPr>
            <w:tcW w:w="1260" w:type="dxa"/>
            <w:vAlign w:val="bottom"/>
            <w:shd w:val="clear" w:color="auto" w:fill="D4EFF3"/>
          </w:tcPr>
          <w:p>
            <w:pPr>
              <w:jc w:val="right"/>
              <w:spacing w:after="0"/>
              <w:rPr>
                <w:sz w:val="20"/>
                <w:szCs w:val="20"/>
                <w:color w:val="auto"/>
              </w:rPr>
            </w:pPr>
            <w:r>
              <w:rPr>
                <w:rFonts w:ascii="Arial" w:cs="Arial" w:eastAsia="Arial" w:hAnsi="Arial"/>
                <w:sz w:val="18"/>
                <w:szCs w:val="18"/>
                <w:color w:val="auto"/>
              </w:rPr>
              <w:t>(56,625)</w:t>
            </w:r>
          </w:p>
        </w:tc>
      </w:tr>
      <w:tr>
        <w:trPr>
          <w:trHeight w:val="303"/>
        </w:trPr>
        <w:tc>
          <w:tcPr>
            <w:tcW w:w="4880" w:type="dxa"/>
            <w:vAlign w:val="bottom"/>
            <w:tcBorders>
              <w:bottom w:val="single" w:sz="8" w:color="D4EFF3"/>
            </w:tcBorders>
          </w:tcPr>
          <w:p>
            <w:pPr>
              <w:ind w:left="30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6,350</w:t>
            </w:r>
          </w:p>
        </w:tc>
        <w:tc>
          <w:tcPr>
            <w:tcW w:w="140" w:type="dxa"/>
            <w:vAlign w:val="bottom"/>
            <w:tcBorders>
              <w:bottom w:val="single" w:sz="8" w:color="D4EFF3"/>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7,250</w:t>
            </w:r>
          </w:p>
        </w:tc>
      </w:tr>
      <w:tr>
        <w:trPr>
          <w:trHeight w:val="343"/>
        </w:trPr>
        <w:tc>
          <w:tcPr>
            <w:tcW w:w="488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D4EFF3"/>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8"/>
                <w:szCs w:val="18"/>
                <w:color w:val="auto"/>
              </w:rPr>
              <w:t>(66,489)</w:t>
            </w:r>
          </w:p>
        </w:tc>
        <w:tc>
          <w:tcPr>
            <w:tcW w:w="14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auto"/>
            </w:tcBorders>
            <w:shd w:val="clear" w:color="auto" w:fill="D4EFF3"/>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8"/>
                <w:szCs w:val="18"/>
                <w:color w:val="auto"/>
              </w:rPr>
              <w:t>(49,375)</w:t>
            </w:r>
          </w:p>
        </w:tc>
      </w:tr>
      <w:tr>
        <w:trPr>
          <w:trHeight w:val="275"/>
        </w:trPr>
        <w:tc>
          <w:tcPr>
            <w:tcW w:w="488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(0.42)</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331"/>
        </w:trPr>
        <w:tc>
          <w:tcPr>
            <w:tcW w:w="4880" w:type="dxa"/>
            <w:vAlign w:val="bottom"/>
            <w:tcBorders>
              <w:top w:val="single" w:sz="8" w:color="D4EFF3"/>
              <w:bottom w:val="single" w:sz="8" w:color="D4EFF3"/>
            </w:tcBorders>
            <w:shd w:val="clear" w:color="auto" w:fill="D4EFF3"/>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440" w:type="dxa"/>
            <w:vAlign w:val="bottom"/>
            <w:tcBorders>
              <w:top w:val="single" w:sz="8" w:color="auto"/>
              <w:bottom w:val="single" w:sz="8" w:color="auto"/>
            </w:tcBorders>
            <w:shd w:val="clear" w:color="auto" w:fill="D4EFF3"/>
          </w:tcPr>
          <w:p>
            <w:pPr>
              <w:spacing w:after="0"/>
              <w:rPr>
                <w:sz w:val="24"/>
                <w:szCs w:val="24"/>
                <w:color w:val="auto"/>
              </w:rPr>
            </w:pPr>
          </w:p>
        </w:tc>
        <w:tc>
          <w:tcPr>
            <w:tcW w:w="1260" w:type="dxa"/>
            <w:vAlign w:val="bottom"/>
            <w:tcBorders>
              <w:top w:val="single" w:sz="8" w:color="auto"/>
              <w:bottom w:val="single" w:sz="8" w:color="auto"/>
            </w:tcBorders>
            <w:shd w:val="clear" w:color="auto" w:fill="D4EFF3"/>
          </w:tcPr>
          <w:p>
            <w:pPr>
              <w:jc w:val="right"/>
              <w:ind w:right="12"/>
              <w:spacing w:after="0"/>
              <w:rPr>
                <w:sz w:val="20"/>
                <w:szCs w:val="20"/>
                <w:color w:val="auto"/>
              </w:rPr>
            </w:pPr>
            <w:r>
              <w:rPr>
                <w:rFonts w:ascii="Arial" w:cs="Arial" w:eastAsia="Arial" w:hAnsi="Arial"/>
                <w:sz w:val="18"/>
                <w:szCs w:val="18"/>
                <w:color w:val="auto"/>
              </w:rPr>
              <w:t>157,695</w:t>
            </w:r>
          </w:p>
        </w:tc>
        <w:tc>
          <w:tcPr>
            <w:tcW w:w="140" w:type="dxa"/>
            <w:vAlign w:val="bottom"/>
            <w:tcBorders>
              <w:top w:val="single" w:sz="8" w:color="D4EFF3"/>
              <w:bottom w:val="single" w:sz="8" w:color="D4EFF3"/>
            </w:tcBorders>
            <w:shd w:val="clear" w:color="auto" w:fill="D4EFF3"/>
          </w:tcPr>
          <w:p>
            <w:pPr>
              <w:spacing w:after="0"/>
              <w:rPr>
                <w:sz w:val="24"/>
                <w:szCs w:val="24"/>
                <w:color w:val="auto"/>
              </w:rPr>
            </w:pPr>
          </w:p>
        </w:tc>
        <w:tc>
          <w:tcPr>
            <w:tcW w:w="440" w:type="dxa"/>
            <w:vAlign w:val="bottom"/>
            <w:tcBorders>
              <w:top w:val="single" w:sz="8" w:color="auto"/>
              <w:bottom w:val="single" w:sz="8" w:color="auto"/>
            </w:tcBorders>
            <w:shd w:val="clear" w:color="auto" w:fill="D4EFF3"/>
          </w:tcPr>
          <w:p>
            <w:pPr>
              <w:spacing w:after="0"/>
              <w:rPr>
                <w:sz w:val="24"/>
                <w:szCs w:val="24"/>
                <w:color w:val="auto"/>
              </w:rPr>
            </w:pPr>
          </w:p>
        </w:tc>
        <w:tc>
          <w:tcPr>
            <w:tcW w:w="1260" w:type="dxa"/>
            <w:vAlign w:val="bottom"/>
            <w:tcBorders>
              <w:top w:val="single" w:sz="8" w:color="auto"/>
              <w:bottom w:val="single" w:sz="8" w:color="auto"/>
            </w:tcBorders>
            <w:shd w:val="clear" w:color="auto" w:fill="D4EFF3"/>
          </w:tcPr>
          <w:p>
            <w:pPr>
              <w:jc w:val="right"/>
              <w:ind w:right="11"/>
              <w:spacing w:after="0"/>
              <w:rPr>
                <w:sz w:val="20"/>
                <w:szCs w:val="20"/>
                <w:color w:val="auto"/>
              </w:rPr>
            </w:pPr>
            <w:r>
              <w:rPr>
                <w:rFonts w:ascii="Arial" w:cs="Arial" w:eastAsia="Arial" w:hAnsi="Arial"/>
                <w:sz w:val="18"/>
                <w:szCs w:val="18"/>
                <w:color w:val="auto"/>
              </w:rPr>
              <w:t>137,384</w:t>
            </w:r>
          </w:p>
        </w:tc>
      </w:tr>
      <w:tr>
        <w:trPr>
          <w:trHeight w:val="271"/>
        </w:trPr>
        <w:tc>
          <w:tcPr>
            <w:tcW w:w="4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15"/>
        </w:trPr>
        <w:tc>
          <w:tcPr>
            <w:tcW w:w="488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bottom w:val="single" w:sz="8" w:color="D4EFF3"/>
            </w:tcBorders>
            <w:shd w:val="clear" w:color="auto" w:fill="D4EFF3"/>
          </w:tcPr>
          <w:p>
            <w:pPr>
              <w:spacing w:after="0"/>
              <w:rPr>
                <w:sz w:val="24"/>
                <w:szCs w:val="24"/>
                <w:color w:val="auto"/>
              </w:rPr>
            </w:pPr>
          </w:p>
        </w:tc>
        <w:tc>
          <w:tcPr>
            <w:tcW w:w="1260" w:type="dxa"/>
            <w:vAlign w:val="bottom"/>
            <w:tcBorders>
              <w:bottom w:val="single" w:sz="8" w:color="D4EFF3"/>
            </w:tcBorders>
            <w:shd w:val="clear" w:color="auto" w:fill="D4EFF3"/>
          </w:tcPr>
          <w:p>
            <w:pPr>
              <w:spacing w:after="0"/>
              <w:rPr>
                <w:sz w:val="24"/>
                <w:szCs w:val="24"/>
                <w:color w:val="auto"/>
              </w:rPr>
            </w:pPr>
          </w:p>
        </w:tc>
        <w:tc>
          <w:tcPr>
            <w:tcW w:w="14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D4EFF3"/>
            </w:tcBorders>
            <w:shd w:val="clear" w:color="auto" w:fill="D4EFF3"/>
          </w:tcPr>
          <w:p>
            <w:pPr>
              <w:spacing w:after="0"/>
              <w:rPr>
                <w:sz w:val="24"/>
                <w:szCs w:val="24"/>
                <w:color w:val="auto"/>
              </w:rPr>
            </w:pPr>
          </w:p>
        </w:tc>
        <w:tc>
          <w:tcPr>
            <w:tcW w:w="1260" w:type="dxa"/>
            <w:vAlign w:val="bottom"/>
            <w:tcBorders>
              <w:bottom w:val="single" w:sz="8" w:color="D4EFF3"/>
            </w:tcBorders>
            <w:shd w:val="clear" w:color="auto" w:fill="D4EFF3"/>
          </w:tcPr>
          <w:p>
            <w:pPr>
              <w:spacing w:after="0"/>
              <w:rPr>
                <w:sz w:val="24"/>
                <w:szCs w:val="24"/>
                <w:color w:val="auto"/>
              </w:rPr>
            </w:pPr>
          </w:p>
        </w:tc>
      </w:tr>
      <w:tr>
        <w:trPr>
          <w:trHeight w:val="310"/>
        </w:trPr>
        <w:tc>
          <w:tcPr>
            <w:tcW w:w="4880" w:type="dxa"/>
            <w:vAlign w:val="bottom"/>
          </w:tcPr>
          <w:p>
            <w:pPr>
              <w:ind w:left="30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(66,489)</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(49,375)</w:t>
            </w:r>
          </w:p>
        </w:tc>
      </w:tr>
      <w:tr>
        <w:trPr>
          <w:trHeight w:val="316"/>
        </w:trPr>
        <w:tc>
          <w:tcPr>
            <w:tcW w:w="4880" w:type="dxa"/>
            <w:vAlign w:val="bottom"/>
            <w:tcBorders>
              <w:bottom w:val="single" w:sz="8" w:color="D4EFF3"/>
            </w:tcBorders>
            <w:shd w:val="clear" w:color="auto" w:fill="D4EFF3"/>
          </w:tcPr>
          <w:p>
            <w:pPr>
              <w:ind w:left="300"/>
              <w:spacing w:after="0"/>
              <w:rPr>
                <w:sz w:val="20"/>
                <w:szCs w:val="20"/>
                <w:color w:val="auto"/>
              </w:rPr>
            </w:pPr>
            <w:r>
              <w:rPr>
                <w:rFonts w:ascii="Arial" w:cs="Arial" w:eastAsia="Arial" w:hAnsi="Arial"/>
                <w:sz w:val="18"/>
                <w:szCs w:val="18"/>
                <w:color w:val="auto"/>
              </w:rPr>
              <w:t>Unrealized gain on marketable securities</w:t>
            </w:r>
          </w:p>
        </w:tc>
        <w:tc>
          <w:tcPr>
            <w:tcW w:w="440" w:type="dxa"/>
            <w:vAlign w:val="bottom"/>
            <w:tcBorders>
              <w:bottom w:val="single" w:sz="8" w:color="auto"/>
            </w:tcBorders>
            <w:shd w:val="clear" w:color="auto" w:fill="D4EFF3"/>
          </w:tcPr>
          <w:p>
            <w:pPr>
              <w:spacing w:after="0"/>
              <w:rPr>
                <w:sz w:val="24"/>
                <w:szCs w:val="24"/>
                <w:color w:val="auto"/>
              </w:rPr>
            </w:pPr>
          </w:p>
        </w:tc>
        <w:tc>
          <w:tcPr>
            <w:tcW w:w="1260" w:type="dxa"/>
            <w:vAlign w:val="bottom"/>
            <w:tcBorders>
              <w:bottom w:val="single" w:sz="8" w:color="auto"/>
            </w:tcBorders>
            <w:shd w:val="clear" w:color="auto" w:fill="D4EFF3"/>
          </w:tcPr>
          <w:p>
            <w:pPr>
              <w:jc w:val="right"/>
              <w:ind w:right="12"/>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auto"/>
            </w:tcBorders>
            <w:shd w:val="clear" w:color="auto" w:fill="D4EFF3"/>
          </w:tcPr>
          <w:p>
            <w:pPr>
              <w:spacing w:after="0"/>
              <w:rPr>
                <w:sz w:val="24"/>
                <w:szCs w:val="24"/>
                <w:color w:val="auto"/>
              </w:rPr>
            </w:pPr>
          </w:p>
        </w:tc>
        <w:tc>
          <w:tcPr>
            <w:tcW w:w="1260" w:type="dxa"/>
            <w:vAlign w:val="bottom"/>
            <w:tcBorders>
              <w:bottom w:val="single" w:sz="8" w:color="auto"/>
            </w:tcBorders>
            <w:shd w:val="clear" w:color="auto" w:fill="D4EFF3"/>
          </w:tcPr>
          <w:p>
            <w:pPr>
              <w:jc w:val="right"/>
              <w:ind w:right="11"/>
              <w:spacing w:after="0"/>
              <w:rPr>
                <w:sz w:val="20"/>
                <w:szCs w:val="20"/>
                <w:color w:val="auto"/>
              </w:rPr>
            </w:pPr>
            <w:r>
              <w:rPr>
                <w:rFonts w:ascii="Arial" w:cs="Arial" w:eastAsia="Arial" w:hAnsi="Arial"/>
                <w:sz w:val="18"/>
                <w:szCs w:val="18"/>
                <w:color w:val="auto"/>
              </w:rPr>
              <w:t>173</w:t>
            </w:r>
          </w:p>
        </w:tc>
      </w:tr>
      <w:tr>
        <w:trPr>
          <w:trHeight w:val="315"/>
        </w:trPr>
        <w:tc>
          <w:tcPr>
            <w:tcW w:w="48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(66,419)</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(49,202)</w:t>
            </w: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2240" w:h="15840" w:orient="portrait"/>
          <w:cols w:equalWidth="0" w:num="1">
            <w:col w:w="9360"/>
          </w:cols>
          <w:pgMar w:left="1440" w:top="1416" w:right="1440" w:bottom="163" w:gutter="0" w:footer="0" w:header="0"/>
        </w:sectPr>
      </w:pPr>
    </w:p>
    <w:bookmarkStart w:id="108" w:name="page109"/>
    <w:bookmarkEnd w:id="108"/>
    <w:p>
      <w:pPr>
        <w:jc w:val="center"/>
        <w:ind w:right="20"/>
        <w:spacing w:after="0" w:line="268" w:lineRule="auto"/>
        <w:rPr>
          <w:sz w:val="20"/>
          <w:szCs w:val="20"/>
          <w:color w:val="auto"/>
        </w:rPr>
      </w:pPr>
      <w:r>
        <w:rPr>
          <w:rFonts w:ascii="Arial" w:cs="Arial" w:eastAsia="Arial" w:hAnsi="Arial"/>
          <w:sz w:val="20"/>
          <w:szCs w:val="20"/>
          <w:b w:val="1"/>
          <w:bCs w:val="1"/>
          <w:color w:val="auto"/>
        </w:rPr>
        <w:t>Compass Therapeutics, Inc. and Subsidiaries Consolidated Statements of Changes in Stockholders’ Equity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5"/>
            <w:vMerge w:val="restart"/>
          </w:tcPr>
          <w:p>
            <w:pPr>
              <w:jc w:val="right"/>
              <w:ind w:right="451"/>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rPr>
                <w:sz w:val="12"/>
                <w:szCs w:val="12"/>
                <w:color w:val="auto"/>
              </w:rPr>
            </w:pPr>
          </w:p>
        </w:tc>
        <w:tc>
          <w:tcPr>
            <w:tcW w:w="940" w:type="dxa"/>
            <w:vAlign w:val="bottom"/>
            <w:gridSpan w:val="2"/>
            <w:vMerge w:val="restart"/>
          </w:tcPr>
          <w:p>
            <w:pPr>
              <w:jc w:val="right"/>
              <w:ind w:right="71"/>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ind w:right="192"/>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25"/>
        </w:trPr>
        <w:tc>
          <w:tcPr>
            <w:tcW w:w="3120" w:type="dxa"/>
            <w:vAlign w:val="bottom"/>
            <w:tcBorders>
              <w:bottom w:val="single" w:sz="8" w:color="D4EFF3"/>
            </w:tcBorders>
          </w:tcPr>
          <w:p>
            <w:pPr>
              <w:spacing w:after="0"/>
              <w:rPr>
                <w:sz w:val="10"/>
                <w:szCs w:val="10"/>
                <w:color w:val="auto"/>
              </w:rPr>
            </w:pPr>
          </w:p>
        </w:tc>
        <w:tc>
          <w:tcPr>
            <w:tcW w:w="20" w:type="dxa"/>
            <w:vAlign w:val="bottom"/>
            <w:tcBorders>
              <w:bottom w:val="single" w:sz="8" w:color="D4EFF3"/>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192"/>
              <w:spacing w:after="0" w:line="100" w:lineRule="exact"/>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D4EFF3"/>
            </w:tcBorders>
          </w:tcPr>
          <w:p>
            <w:pPr>
              <w:spacing w:after="0"/>
              <w:rPr>
                <w:sz w:val="10"/>
                <w:szCs w:val="10"/>
                <w:color w:val="auto"/>
              </w:rPr>
            </w:pPr>
          </w:p>
        </w:tc>
        <w:tc>
          <w:tcPr>
            <w:tcW w:w="20" w:type="dxa"/>
            <w:vAlign w:val="bottom"/>
            <w:tcBorders>
              <w:top w:val="single" w:sz="8" w:color="auto"/>
              <w:bottom w:val="single" w:sz="8" w:color="D4EFF3"/>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1"/>
              <w:spacing w:after="0" w:line="100"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D4EFF3"/>
            </w:tcBorders>
          </w:tcPr>
          <w:p>
            <w:pPr>
              <w:spacing w:after="0"/>
              <w:rPr>
                <w:sz w:val="10"/>
                <w:szCs w:val="10"/>
                <w:color w:val="auto"/>
              </w:rPr>
            </w:pPr>
          </w:p>
        </w:tc>
        <w:tc>
          <w:tcPr>
            <w:tcW w:w="20" w:type="dxa"/>
            <w:vAlign w:val="bottom"/>
            <w:tcBorders>
              <w:bottom w:val="single" w:sz="8" w:color="D4EFF3"/>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Capital</w:t>
            </w:r>
          </w:p>
        </w:tc>
        <w:tc>
          <w:tcPr>
            <w:tcW w:w="80" w:type="dxa"/>
            <w:vAlign w:val="bottom"/>
            <w:tcBorders>
              <w:bottom w:val="single" w:sz="8" w:color="D4EFF3"/>
            </w:tcBorders>
          </w:tcPr>
          <w:p>
            <w:pPr>
              <w:spacing w:after="0"/>
              <w:rPr>
                <w:sz w:val="10"/>
                <w:szCs w:val="10"/>
                <w:color w:val="auto"/>
              </w:rPr>
            </w:pPr>
          </w:p>
        </w:tc>
        <w:tc>
          <w:tcPr>
            <w:tcW w:w="20" w:type="dxa"/>
            <w:vAlign w:val="bottom"/>
            <w:tcBorders>
              <w:bottom w:val="single" w:sz="8" w:color="D4EFF3"/>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71"/>
              <w:spacing w:after="0" w:line="100"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Borders>
              <w:bottom w:val="single" w:sz="8" w:color="D4EFF3"/>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51"/>
              <w:spacing w:after="0" w:line="100" w:lineRule="exact"/>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D4EFF3"/>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212"/>
              <w:spacing w:after="0" w:line="100"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58"/>
        </w:trPr>
        <w:tc>
          <w:tcPr>
            <w:tcW w:w="3140" w:type="dxa"/>
            <w:vAlign w:val="bottom"/>
            <w:tcBorders>
              <w:top w:val="single" w:sz="8" w:color="D4EFF3"/>
            </w:tcBorders>
            <w:gridSpan w:val="2"/>
            <w:shd w:val="clear" w:color="auto" w:fill="D4EFF3"/>
          </w:tcPr>
          <w:p>
            <w:pPr>
              <w:ind w:left="40"/>
              <w:spacing w:after="0" w:line="149" w:lineRule="exact"/>
              <w:rPr>
                <w:sz w:val="20"/>
                <w:szCs w:val="20"/>
                <w:color w:val="auto"/>
              </w:rPr>
            </w:pPr>
            <w:r>
              <w:rPr>
                <w:rFonts w:ascii="Arial" w:cs="Arial" w:eastAsia="Arial" w:hAnsi="Arial"/>
                <w:sz w:val="14"/>
                <w:szCs w:val="14"/>
                <w:b w:val="1"/>
                <w:bCs w:val="1"/>
                <w:color w:val="auto"/>
              </w:rPr>
              <w:t>Balance at December 31, 2023</w:t>
            </w:r>
          </w:p>
        </w:tc>
        <w:tc>
          <w:tcPr>
            <w:tcW w:w="900" w:type="dxa"/>
            <w:vAlign w:val="bottom"/>
            <w:tcBorders>
              <w:top w:val="single" w:sz="8" w:color="auto"/>
            </w:tcBorders>
            <w:shd w:val="clear" w:color="auto" w:fill="D4EFF3"/>
          </w:tcPr>
          <w:p>
            <w:pPr>
              <w:jc w:val="right"/>
              <w:ind w:right="12"/>
              <w:spacing w:after="0" w:line="157" w:lineRule="exact"/>
              <w:rPr>
                <w:sz w:val="20"/>
                <w:szCs w:val="20"/>
                <w:color w:val="auto"/>
              </w:rPr>
            </w:pPr>
            <w:r>
              <w:rPr>
                <w:rFonts w:ascii="Arial" w:cs="Arial" w:eastAsia="Arial" w:hAnsi="Arial"/>
                <w:sz w:val="14"/>
                <w:szCs w:val="14"/>
                <w:color w:val="auto"/>
              </w:rPr>
              <w:t>127,668</w:t>
            </w:r>
          </w:p>
        </w:tc>
        <w:tc>
          <w:tcPr>
            <w:tcW w:w="120" w:type="dxa"/>
            <w:vAlign w:val="bottom"/>
            <w:tcBorders>
              <w:top w:val="single" w:sz="8" w:color="D4EFF3"/>
            </w:tcBorders>
            <w:shd w:val="clear" w:color="auto" w:fill="D4EFF3"/>
          </w:tcPr>
          <w:p>
            <w:pPr>
              <w:spacing w:after="0"/>
              <w:rPr>
                <w:sz w:val="13"/>
                <w:szCs w:val="13"/>
                <w:color w:val="auto"/>
              </w:rPr>
            </w:pPr>
          </w:p>
        </w:tc>
        <w:tc>
          <w:tcPr>
            <w:tcW w:w="20" w:type="dxa"/>
            <w:vAlign w:val="bottom"/>
            <w:tcBorders>
              <w:top w:val="single" w:sz="8" w:color="D4EFF3"/>
            </w:tcBorders>
            <w:shd w:val="clear" w:color="auto" w:fill="D4EFF3"/>
          </w:tcPr>
          <w:p>
            <w:pPr>
              <w:spacing w:after="0"/>
              <w:rPr>
                <w:sz w:val="13"/>
                <w:szCs w:val="13"/>
                <w:color w:val="auto"/>
              </w:rPr>
            </w:pPr>
          </w:p>
        </w:tc>
        <w:tc>
          <w:tcPr>
            <w:tcW w:w="160" w:type="dxa"/>
            <w:vAlign w:val="bottom"/>
            <w:tcBorders>
              <w:top w:val="single" w:sz="8" w:color="auto"/>
            </w:tcBorders>
            <w:shd w:val="clear" w:color="auto" w:fill="D4EFF3"/>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D4EFF3"/>
          </w:tcPr>
          <w:p>
            <w:pPr>
              <w:jc w:val="right"/>
              <w:ind w:right="11"/>
              <w:spacing w:after="0" w:line="157" w:lineRule="exact"/>
              <w:rPr>
                <w:sz w:val="20"/>
                <w:szCs w:val="20"/>
                <w:color w:val="auto"/>
              </w:rPr>
            </w:pPr>
            <w:r>
              <w:rPr>
                <w:rFonts w:ascii="Arial" w:cs="Arial" w:eastAsia="Arial" w:hAnsi="Arial"/>
                <w:sz w:val="14"/>
                <w:szCs w:val="14"/>
                <w:color w:val="auto"/>
              </w:rPr>
              <w:t>13</w:t>
            </w:r>
          </w:p>
        </w:tc>
        <w:tc>
          <w:tcPr>
            <w:tcW w:w="120" w:type="dxa"/>
            <w:vAlign w:val="bottom"/>
            <w:tcBorders>
              <w:top w:val="single" w:sz="8" w:color="D4EFF3"/>
            </w:tcBorders>
            <w:shd w:val="clear" w:color="auto" w:fill="D4EFF3"/>
          </w:tcPr>
          <w:p>
            <w:pPr>
              <w:spacing w:after="0"/>
              <w:rPr>
                <w:sz w:val="13"/>
                <w:szCs w:val="13"/>
                <w:color w:val="auto"/>
              </w:rPr>
            </w:pPr>
          </w:p>
        </w:tc>
        <w:tc>
          <w:tcPr>
            <w:tcW w:w="20" w:type="dxa"/>
            <w:vAlign w:val="bottom"/>
            <w:tcBorders>
              <w:top w:val="single" w:sz="8" w:color="D4EFF3"/>
            </w:tcBorders>
            <w:shd w:val="clear" w:color="auto" w:fill="D4EFF3"/>
          </w:tcPr>
          <w:p>
            <w:pPr>
              <w:spacing w:after="0"/>
              <w:rPr>
                <w:sz w:val="13"/>
                <w:szCs w:val="13"/>
                <w:color w:val="auto"/>
              </w:rPr>
            </w:pPr>
          </w:p>
        </w:tc>
        <w:tc>
          <w:tcPr>
            <w:tcW w:w="160" w:type="dxa"/>
            <w:vAlign w:val="bottom"/>
            <w:tcBorders>
              <w:top w:val="single" w:sz="8" w:color="auto"/>
            </w:tcBorders>
            <w:shd w:val="clear" w:color="auto" w:fill="D4EFF3"/>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D4EFF3"/>
          </w:tcPr>
          <w:p>
            <w:pPr>
              <w:jc w:val="right"/>
              <w:ind w:right="13"/>
              <w:spacing w:after="0" w:line="157" w:lineRule="exact"/>
              <w:rPr>
                <w:sz w:val="20"/>
                <w:szCs w:val="20"/>
                <w:color w:val="auto"/>
              </w:rPr>
            </w:pPr>
            <w:r>
              <w:rPr>
                <w:rFonts w:ascii="Arial" w:cs="Arial" w:eastAsia="Arial" w:hAnsi="Arial"/>
                <w:sz w:val="14"/>
                <w:szCs w:val="14"/>
                <w:color w:val="auto"/>
              </w:rPr>
              <w:t>463,796</w:t>
            </w:r>
          </w:p>
        </w:tc>
        <w:tc>
          <w:tcPr>
            <w:tcW w:w="20" w:type="dxa"/>
            <w:vAlign w:val="bottom"/>
            <w:tcBorders>
              <w:top w:val="single" w:sz="8" w:color="auto"/>
            </w:tcBorders>
            <w:shd w:val="clear" w:color="auto" w:fill="D4EFF3"/>
          </w:tcPr>
          <w:p>
            <w:pPr>
              <w:spacing w:after="0"/>
              <w:rPr>
                <w:sz w:val="13"/>
                <w:szCs w:val="13"/>
                <w:color w:val="auto"/>
              </w:rPr>
            </w:pPr>
          </w:p>
        </w:tc>
        <w:tc>
          <w:tcPr>
            <w:tcW w:w="80" w:type="dxa"/>
            <w:vAlign w:val="bottom"/>
            <w:tcBorders>
              <w:top w:val="single" w:sz="8" w:color="D4EFF3"/>
            </w:tcBorders>
            <w:shd w:val="clear" w:color="auto" w:fill="D4EFF3"/>
          </w:tcPr>
          <w:p>
            <w:pPr>
              <w:spacing w:after="0"/>
              <w:rPr>
                <w:sz w:val="13"/>
                <w:szCs w:val="13"/>
                <w:color w:val="auto"/>
              </w:rPr>
            </w:pPr>
          </w:p>
        </w:tc>
        <w:tc>
          <w:tcPr>
            <w:tcW w:w="20" w:type="dxa"/>
            <w:vAlign w:val="bottom"/>
            <w:tcBorders>
              <w:top w:val="single" w:sz="8" w:color="D4EFF3"/>
            </w:tcBorders>
            <w:shd w:val="clear" w:color="auto" w:fill="D4EFF3"/>
          </w:tcPr>
          <w:p>
            <w:pPr>
              <w:spacing w:after="0"/>
              <w:rPr>
                <w:sz w:val="13"/>
                <w:szCs w:val="13"/>
                <w:color w:val="auto"/>
              </w:rPr>
            </w:pPr>
          </w:p>
        </w:tc>
        <w:tc>
          <w:tcPr>
            <w:tcW w:w="240" w:type="dxa"/>
            <w:vAlign w:val="bottom"/>
            <w:tcBorders>
              <w:top w:val="single" w:sz="8" w:color="auto"/>
            </w:tcBorders>
            <w:shd w:val="clear" w:color="auto" w:fill="D4EFF3"/>
          </w:tcPr>
          <w:p>
            <w:pPr>
              <w:jc w:val="right"/>
              <w:ind w:right="38"/>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D4EFF3"/>
          </w:tcPr>
          <w:p>
            <w:pPr>
              <w:jc w:val="right"/>
              <w:ind w:right="11"/>
              <w:spacing w:after="0" w:line="157" w:lineRule="exact"/>
              <w:rPr>
                <w:sz w:val="20"/>
                <w:szCs w:val="20"/>
                <w:color w:val="auto"/>
              </w:rPr>
            </w:pPr>
            <w:r>
              <w:rPr>
                <w:rFonts w:ascii="Arial" w:cs="Arial" w:eastAsia="Arial" w:hAnsi="Arial"/>
                <w:sz w:val="14"/>
                <w:szCs w:val="14"/>
                <w:color w:val="auto"/>
              </w:rPr>
              <w:t>37</w:t>
            </w:r>
          </w:p>
        </w:tc>
        <w:tc>
          <w:tcPr>
            <w:tcW w:w="120" w:type="dxa"/>
            <w:vAlign w:val="bottom"/>
            <w:tcBorders>
              <w:top w:val="single" w:sz="8" w:color="D4EFF3"/>
            </w:tcBorders>
            <w:shd w:val="clear" w:color="auto" w:fill="D4EFF3"/>
          </w:tcPr>
          <w:p>
            <w:pPr>
              <w:spacing w:after="0"/>
              <w:rPr>
                <w:sz w:val="13"/>
                <w:szCs w:val="13"/>
                <w:color w:val="auto"/>
              </w:rPr>
            </w:pPr>
          </w:p>
        </w:tc>
        <w:tc>
          <w:tcPr>
            <w:tcW w:w="240" w:type="dxa"/>
            <w:vAlign w:val="bottom"/>
            <w:tcBorders>
              <w:top w:val="single" w:sz="8" w:color="auto"/>
            </w:tcBorders>
            <w:shd w:val="clear" w:color="auto" w:fill="D4EFF3"/>
          </w:tcPr>
          <w:p>
            <w:pPr>
              <w:jc w:val="right"/>
              <w:ind w:right="14"/>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D4EFF3"/>
          </w:tcPr>
          <w:p>
            <w:pPr>
              <w:jc w:val="right"/>
              <w:spacing w:after="0" w:line="157" w:lineRule="exact"/>
              <w:rPr>
                <w:sz w:val="20"/>
                <w:szCs w:val="20"/>
                <w:color w:val="auto"/>
              </w:rPr>
            </w:pPr>
            <w:r>
              <w:rPr>
                <w:rFonts w:ascii="Arial" w:cs="Arial" w:eastAsia="Arial" w:hAnsi="Arial"/>
                <w:sz w:val="14"/>
                <w:szCs w:val="14"/>
                <w:color w:val="auto"/>
              </w:rPr>
              <w:t>(315,308)</w:t>
            </w:r>
          </w:p>
        </w:tc>
        <w:tc>
          <w:tcPr>
            <w:tcW w:w="100" w:type="dxa"/>
            <w:vAlign w:val="bottom"/>
            <w:tcBorders>
              <w:top w:val="single" w:sz="8" w:color="D4EFF3"/>
            </w:tcBorders>
            <w:shd w:val="clear" w:color="auto" w:fill="D4EFF3"/>
          </w:tcPr>
          <w:p>
            <w:pPr>
              <w:spacing w:after="0"/>
              <w:rPr>
                <w:sz w:val="13"/>
                <w:szCs w:val="13"/>
                <w:color w:val="auto"/>
              </w:rPr>
            </w:pPr>
          </w:p>
        </w:tc>
        <w:tc>
          <w:tcPr>
            <w:tcW w:w="260" w:type="dxa"/>
            <w:vAlign w:val="bottom"/>
            <w:tcBorders>
              <w:top w:val="single" w:sz="8" w:color="D4EFF3"/>
            </w:tcBorders>
            <w:shd w:val="clear" w:color="auto" w:fill="D4EFF3"/>
          </w:tcPr>
          <w:p>
            <w:pPr>
              <w:jc w:val="right"/>
              <w:ind w:right="34"/>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D4EFF3"/>
            </w:tcBorders>
            <w:shd w:val="clear" w:color="auto" w:fill="D4EFF3"/>
          </w:tcPr>
          <w:p>
            <w:pPr>
              <w:jc w:val="right"/>
              <w:ind w:right="12"/>
              <w:spacing w:after="0" w:line="157" w:lineRule="exact"/>
              <w:rPr>
                <w:sz w:val="20"/>
                <w:szCs w:val="20"/>
                <w:color w:val="auto"/>
              </w:rPr>
            </w:pPr>
            <w:r>
              <w:rPr>
                <w:rFonts w:ascii="Arial" w:cs="Arial" w:eastAsia="Arial" w:hAnsi="Arial"/>
                <w:sz w:val="14"/>
                <w:szCs w:val="14"/>
                <w:color w:val="auto"/>
              </w:rPr>
              <w:t>148,538</w:t>
            </w:r>
          </w:p>
        </w:tc>
        <w:tc>
          <w:tcPr>
            <w:tcW w:w="0" w:type="dxa"/>
            <w:vAlign w:val="bottom"/>
          </w:tcPr>
          <w:p>
            <w:pPr>
              <w:spacing w:after="0"/>
              <w:rPr>
                <w:sz w:val="1"/>
                <w:szCs w:val="1"/>
                <w:color w:val="auto"/>
              </w:rPr>
            </w:pPr>
          </w:p>
        </w:tc>
      </w:tr>
      <w:tr>
        <w:trPr>
          <w:trHeight w:val="176"/>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Common stock issued in ATM offering, net of</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costs of $0.5 million</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9,790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17,568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17,569</w:t>
            </w: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D4EFF3"/>
          </w:tcPr>
          <w:p>
            <w:pPr>
              <w:ind w:left="40"/>
              <w:spacing w:after="0"/>
              <w:rPr>
                <w:sz w:val="20"/>
                <w:szCs w:val="20"/>
                <w:color w:val="auto"/>
              </w:rPr>
            </w:pPr>
            <w:r>
              <w:rPr>
                <w:rFonts w:ascii="Arial" w:cs="Arial" w:eastAsia="Arial" w:hAnsi="Arial"/>
                <w:sz w:val="14"/>
                <w:szCs w:val="14"/>
                <w:color w:val="auto"/>
              </w:rPr>
              <w:t>Stock-based awards, net of tax remittance</w:t>
            </w:r>
          </w:p>
        </w:tc>
        <w:tc>
          <w:tcPr>
            <w:tcW w:w="90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760" w:type="dxa"/>
            <w:vAlign w:val="bottom"/>
            <w:shd w:val="clear" w:color="auto" w:fill="D4EFF3"/>
          </w:tcPr>
          <w:p>
            <w:pPr>
              <w:jc w:val="right"/>
              <w:spacing w:after="0"/>
              <w:rPr>
                <w:sz w:val="20"/>
                <w:szCs w:val="20"/>
                <w:color w:val="auto"/>
              </w:rPr>
            </w:pPr>
            <w:r>
              <w:rPr>
                <w:rFonts w:ascii="Arial" w:cs="Arial" w:eastAsia="Arial" w:hAnsi="Arial"/>
                <w:sz w:val="14"/>
                <w:szCs w:val="14"/>
                <w:color w:val="auto"/>
              </w:rPr>
              <w:t>(232)</w:t>
            </w:r>
          </w:p>
        </w:tc>
        <w:tc>
          <w:tcPr>
            <w:tcW w:w="20" w:type="dxa"/>
            <w:vAlign w:val="bottom"/>
            <w:shd w:val="clear" w:color="auto" w:fill="D4EFF3"/>
          </w:tcPr>
          <w:p>
            <w:pPr>
              <w:spacing w:after="0"/>
              <w:rPr>
                <w:sz w:val="17"/>
                <w:szCs w:val="17"/>
                <w:color w:val="auto"/>
              </w:rPr>
            </w:pPr>
          </w:p>
        </w:tc>
        <w:tc>
          <w:tcPr>
            <w:tcW w:w="8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82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700" w:type="dxa"/>
            <w:vAlign w:val="bottom"/>
            <w:shd w:val="clear" w:color="auto" w:fill="D4EFF3"/>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FF3"/>
          </w:tcPr>
          <w:p>
            <w:pPr>
              <w:spacing w:after="0"/>
              <w:rPr>
                <w:sz w:val="17"/>
                <w:szCs w:val="17"/>
                <w:color w:val="auto"/>
              </w:rPr>
            </w:pPr>
          </w:p>
        </w:tc>
        <w:tc>
          <w:tcPr>
            <w:tcW w:w="260" w:type="dxa"/>
            <w:vAlign w:val="bottom"/>
            <w:shd w:val="clear" w:color="auto" w:fill="D4EFF3"/>
          </w:tcPr>
          <w:p>
            <w:pPr>
              <w:spacing w:after="0"/>
              <w:rPr>
                <w:sz w:val="17"/>
                <w:szCs w:val="17"/>
                <w:color w:val="auto"/>
              </w:rPr>
            </w:pPr>
          </w:p>
        </w:tc>
        <w:tc>
          <w:tcPr>
            <w:tcW w:w="760" w:type="dxa"/>
            <w:vAlign w:val="bottom"/>
            <w:shd w:val="clear" w:color="auto" w:fill="D4EFF3"/>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1"/>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8,560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8,560</w:t>
            </w: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D4EFF3"/>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90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780" w:type="dxa"/>
            <w:vAlign w:val="bottom"/>
            <w:gridSpan w:val="2"/>
            <w:shd w:val="clear" w:color="auto" w:fill="D4EFF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82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700" w:type="dxa"/>
            <w:vAlign w:val="bottom"/>
            <w:shd w:val="clear" w:color="auto" w:fill="D4EFF3"/>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FF3"/>
          </w:tcPr>
          <w:p>
            <w:pPr>
              <w:spacing w:after="0"/>
              <w:rPr>
                <w:sz w:val="17"/>
                <w:szCs w:val="17"/>
                <w:color w:val="auto"/>
              </w:rPr>
            </w:pPr>
          </w:p>
        </w:tc>
        <w:tc>
          <w:tcPr>
            <w:tcW w:w="260" w:type="dxa"/>
            <w:vAlign w:val="bottom"/>
            <w:shd w:val="clear" w:color="auto" w:fill="D4EFF3"/>
          </w:tcPr>
          <w:p>
            <w:pPr>
              <w:spacing w:after="0"/>
              <w:rPr>
                <w:sz w:val="17"/>
                <w:szCs w:val="17"/>
                <w:color w:val="auto"/>
              </w:rPr>
            </w:pPr>
          </w:p>
        </w:tc>
        <w:tc>
          <w:tcPr>
            <w:tcW w:w="76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1"/>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(49,375)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(49,375)</w:t>
            </w:r>
          </w:p>
        </w:tc>
        <w:tc>
          <w:tcPr>
            <w:tcW w:w="0" w:type="dxa"/>
            <w:vAlign w:val="bottom"/>
          </w:tcPr>
          <w:p>
            <w:pPr>
              <w:spacing w:after="0"/>
              <w:rPr>
                <w:sz w:val="1"/>
                <w:szCs w:val="1"/>
                <w:color w:val="auto"/>
              </w:rPr>
            </w:pPr>
          </w:p>
        </w:tc>
      </w:tr>
      <w:tr>
        <w:trPr>
          <w:trHeight w:val="161"/>
        </w:trPr>
        <w:tc>
          <w:tcPr>
            <w:tcW w:w="3120" w:type="dxa"/>
            <w:vAlign w:val="bottom"/>
            <w:tcBorders>
              <w:top w:val="single" w:sz="8" w:color="D4EFF3"/>
              <w:bottom w:val="single" w:sz="8" w:color="D4EFF3"/>
            </w:tcBorders>
            <w:shd w:val="clear" w:color="auto" w:fill="D4EFF3"/>
          </w:tcPr>
          <w:p>
            <w:pPr>
              <w:ind w:left="40"/>
              <w:spacing w:after="0" w:line="141" w:lineRule="exact"/>
              <w:rPr>
                <w:sz w:val="20"/>
                <w:szCs w:val="20"/>
                <w:color w:val="auto"/>
              </w:rPr>
            </w:pPr>
            <w:r>
              <w:rPr>
                <w:rFonts w:ascii="Arial" w:cs="Arial" w:eastAsia="Arial" w:hAnsi="Arial"/>
                <w:sz w:val="14"/>
                <w:szCs w:val="14"/>
                <w:b w:val="1"/>
                <w:bCs w:val="1"/>
                <w:color w:val="auto"/>
              </w:rPr>
              <w:t>Balance at December 31, 2024</w:t>
            </w:r>
          </w:p>
        </w:tc>
        <w:tc>
          <w:tcPr>
            <w:tcW w:w="20" w:type="dxa"/>
            <w:vAlign w:val="bottom"/>
            <w:tcBorders>
              <w:top w:val="single" w:sz="8" w:color="auto"/>
              <w:bottom w:val="single" w:sz="8" w:color="auto"/>
            </w:tcBorders>
            <w:shd w:val="clear" w:color="auto" w:fill="D4EFF3"/>
          </w:tcPr>
          <w:p>
            <w:pPr>
              <w:spacing w:after="0"/>
              <w:rPr>
                <w:sz w:val="14"/>
                <w:szCs w:val="14"/>
                <w:color w:val="auto"/>
              </w:rPr>
            </w:pPr>
          </w:p>
        </w:tc>
        <w:tc>
          <w:tcPr>
            <w:tcW w:w="900" w:type="dxa"/>
            <w:vAlign w:val="bottom"/>
            <w:tcBorders>
              <w:top w:val="single" w:sz="8" w:color="auto"/>
              <w:bottom w:val="single" w:sz="8" w:color="auto"/>
            </w:tcBorders>
            <w:shd w:val="clear" w:color="auto" w:fill="D4EFF3"/>
          </w:tcPr>
          <w:p>
            <w:pPr>
              <w:jc w:val="right"/>
              <w:ind w:right="12"/>
              <w:spacing w:after="0" w:line="141" w:lineRule="exact"/>
              <w:rPr>
                <w:sz w:val="20"/>
                <w:szCs w:val="20"/>
                <w:color w:val="auto"/>
              </w:rPr>
            </w:pPr>
            <w:r>
              <w:rPr>
                <w:rFonts w:ascii="Arial" w:cs="Arial" w:eastAsia="Arial" w:hAnsi="Arial"/>
                <w:sz w:val="14"/>
                <w:szCs w:val="14"/>
                <w:color w:val="auto"/>
              </w:rPr>
              <w:t>137,820</w:t>
            </w:r>
          </w:p>
        </w:tc>
        <w:tc>
          <w:tcPr>
            <w:tcW w:w="120" w:type="dxa"/>
            <w:vAlign w:val="bottom"/>
            <w:tcBorders>
              <w:top w:val="single" w:sz="8" w:color="D4EFF3"/>
              <w:bottom w:val="single" w:sz="8" w:color="D4EFF3"/>
            </w:tcBorders>
            <w:shd w:val="clear" w:color="auto" w:fill="D4EFF3"/>
          </w:tcPr>
          <w:p>
            <w:pPr>
              <w:spacing w:after="0"/>
              <w:rPr>
                <w:sz w:val="14"/>
                <w:szCs w:val="14"/>
                <w:color w:val="auto"/>
              </w:rPr>
            </w:pPr>
          </w:p>
        </w:tc>
        <w:tc>
          <w:tcPr>
            <w:tcW w:w="20" w:type="dxa"/>
            <w:vAlign w:val="bottom"/>
            <w:tcBorders>
              <w:top w:val="single" w:sz="8" w:color="D4EFF3"/>
              <w:bottom w:val="single" w:sz="8" w:color="D4EFF3"/>
            </w:tcBorders>
            <w:shd w:val="clear" w:color="auto" w:fill="D4EFF3"/>
          </w:tcPr>
          <w:p>
            <w:pPr>
              <w:spacing w:after="0"/>
              <w:rPr>
                <w:sz w:val="14"/>
                <w:szCs w:val="14"/>
                <w:color w:val="auto"/>
              </w:rPr>
            </w:pPr>
          </w:p>
        </w:tc>
        <w:tc>
          <w:tcPr>
            <w:tcW w:w="160" w:type="dxa"/>
            <w:vAlign w:val="bottom"/>
            <w:tcBorders>
              <w:top w:val="single" w:sz="8" w:color="auto"/>
              <w:bottom w:val="single" w:sz="8" w:color="auto"/>
            </w:tcBorders>
            <w:shd w:val="clear" w:color="auto" w:fill="D4EFF3"/>
          </w:tcPr>
          <w:p>
            <w:pPr>
              <w:spacing w:after="0"/>
              <w:rPr>
                <w:sz w:val="14"/>
                <w:szCs w:val="14"/>
                <w:color w:val="auto"/>
              </w:rPr>
            </w:pPr>
          </w:p>
        </w:tc>
        <w:tc>
          <w:tcPr>
            <w:tcW w:w="600" w:type="dxa"/>
            <w:vAlign w:val="bottom"/>
            <w:tcBorders>
              <w:top w:val="single" w:sz="8" w:color="auto"/>
              <w:bottom w:val="single" w:sz="8" w:color="auto"/>
            </w:tcBorders>
            <w:shd w:val="clear" w:color="auto" w:fill="D4EFF3"/>
          </w:tcPr>
          <w:p>
            <w:pPr>
              <w:jc w:val="right"/>
              <w:ind w:right="11"/>
              <w:spacing w:after="0" w:line="141" w:lineRule="exact"/>
              <w:rPr>
                <w:sz w:val="20"/>
                <w:szCs w:val="20"/>
                <w:color w:val="auto"/>
              </w:rPr>
            </w:pPr>
            <w:r>
              <w:rPr>
                <w:rFonts w:ascii="Arial" w:cs="Arial" w:eastAsia="Arial" w:hAnsi="Arial"/>
                <w:sz w:val="14"/>
                <w:szCs w:val="14"/>
                <w:color w:val="auto"/>
              </w:rPr>
              <w:t>14</w:t>
            </w:r>
          </w:p>
        </w:tc>
        <w:tc>
          <w:tcPr>
            <w:tcW w:w="120" w:type="dxa"/>
            <w:vAlign w:val="bottom"/>
            <w:tcBorders>
              <w:top w:val="single" w:sz="8" w:color="D4EFF3"/>
              <w:bottom w:val="single" w:sz="8" w:color="D4EFF3"/>
            </w:tcBorders>
            <w:shd w:val="clear" w:color="auto" w:fill="D4EFF3"/>
          </w:tcPr>
          <w:p>
            <w:pPr>
              <w:spacing w:after="0"/>
              <w:rPr>
                <w:sz w:val="14"/>
                <w:szCs w:val="14"/>
                <w:color w:val="auto"/>
              </w:rPr>
            </w:pPr>
          </w:p>
        </w:tc>
        <w:tc>
          <w:tcPr>
            <w:tcW w:w="20" w:type="dxa"/>
            <w:vAlign w:val="bottom"/>
            <w:tcBorders>
              <w:top w:val="single" w:sz="8" w:color="D4EFF3"/>
              <w:bottom w:val="single" w:sz="8" w:color="D4EFF3"/>
            </w:tcBorders>
            <w:shd w:val="clear" w:color="auto" w:fill="D4EFF3"/>
          </w:tcPr>
          <w:p>
            <w:pPr>
              <w:spacing w:after="0"/>
              <w:rPr>
                <w:sz w:val="14"/>
                <w:szCs w:val="14"/>
                <w:color w:val="auto"/>
              </w:rPr>
            </w:pPr>
          </w:p>
        </w:tc>
        <w:tc>
          <w:tcPr>
            <w:tcW w:w="160" w:type="dxa"/>
            <w:vAlign w:val="bottom"/>
            <w:tcBorders>
              <w:top w:val="single" w:sz="8" w:color="auto"/>
              <w:bottom w:val="single" w:sz="8" w:color="auto"/>
            </w:tcBorders>
            <w:shd w:val="clear" w:color="auto" w:fill="D4EFF3"/>
          </w:tcPr>
          <w:p>
            <w:pPr>
              <w:jc w:val="right"/>
              <w:spacing w:after="0" w:line="14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D4EFF3"/>
          </w:tcPr>
          <w:p>
            <w:pPr>
              <w:jc w:val="right"/>
              <w:ind w:right="13"/>
              <w:spacing w:after="0" w:line="141" w:lineRule="exact"/>
              <w:rPr>
                <w:sz w:val="20"/>
                <w:szCs w:val="20"/>
                <w:color w:val="auto"/>
              </w:rPr>
            </w:pPr>
            <w:r>
              <w:rPr>
                <w:rFonts w:ascii="Arial" w:cs="Arial" w:eastAsia="Arial" w:hAnsi="Arial"/>
                <w:sz w:val="14"/>
                <w:szCs w:val="14"/>
                <w:color w:val="auto"/>
              </w:rPr>
              <w:t>489,692</w:t>
            </w:r>
          </w:p>
        </w:tc>
        <w:tc>
          <w:tcPr>
            <w:tcW w:w="20" w:type="dxa"/>
            <w:vAlign w:val="bottom"/>
            <w:tcBorders>
              <w:top w:val="single" w:sz="8" w:color="D4EFF3"/>
              <w:bottom w:val="single" w:sz="8" w:color="D4EFF3"/>
            </w:tcBorders>
            <w:shd w:val="clear" w:color="auto" w:fill="D4EFF3"/>
          </w:tcPr>
          <w:p>
            <w:pPr>
              <w:spacing w:after="0"/>
              <w:rPr>
                <w:sz w:val="14"/>
                <w:szCs w:val="14"/>
                <w:color w:val="auto"/>
              </w:rPr>
            </w:pPr>
          </w:p>
        </w:tc>
        <w:tc>
          <w:tcPr>
            <w:tcW w:w="80" w:type="dxa"/>
            <w:vAlign w:val="bottom"/>
            <w:tcBorders>
              <w:top w:val="single" w:sz="8" w:color="D4EFF3"/>
              <w:bottom w:val="single" w:sz="8" w:color="D4EFF3"/>
            </w:tcBorders>
            <w:shd w:val="clear" w:color="auto" w:fill="D4EFF3"/>
          </w:tcPr>
          <w:p>
            <w:pPr>
              <w:spacing w:after="0"/>
              <w:rPr>
                <w:sz w:val="14"/>
                <w:szCs w:val="14"/>
                <w:color w:val="auto"/>
              </w:rPr>
            </w:pPr>
          </w:p>
        </w:tc>
        <w:tc>
          <w:tcPr>
            <w:tcW w:w="20" w:type="dxa"/>
            <w:vAlign w:val="bottom"/>
            <w:tcBorders>
              <w:top w:val="single" w:sz="8" w:color="D4EFF3"/>
              <w:bottom w:val="single" w:sz="8" w:color="D4EFF3"/>
            </w:tcBorders>
            <w:shd w:val="clear" w:color="auto" w:fill="D4EFF3"/>
          </w:tcPr>
          <w:p>
            <w:pPr>
              <w:spacing w:after="0"/>
              <w:rPr>
                <w:sz w:val="14"/>
                <w:szCs w:val="14"/>
                <w:color w:val="auto"/>
              </w:rPr>
            </w:pPr>
          </w:p>
        </w:tc>
        <w:tc>
          <w:tcPr>
            <w:tcW w:w="240" w:type="dxa"/>
            <w:vAlign w:val="bottom"/>
            <w:tcBorders>
              <w:top w:val="single" w:sz="8" w:color="auto"/>
              <w:bottom w:val="single" w:sz="8" w:color="auto"/>
            </w:tcBorders>
            <w:shd w:val="clear" w:color="auto" w:fill="D4EFF3"/>
          </w:tcPr>
          <w:p>
            <w:pPr>
              <w:jc w:val="right"/>
              <w:ind w:right="38"/>
              <w:spacing w:after="0" w:line="141"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D4EFF3"/>
          </w:tcPr>
          <w:p>
            <w:pPr>
              <w:jc w:val="right"/>
              <w:ind w:right="11"/>
              <w:spacing w:after="0" w:line="141" w:lineRule="exact"/>
              <w:rPr>
                <w:sz w:val="20"/>
                <w:szCs w:val="20"/>
                <w:color w:val="auto"/>
              </w:rPr>
            </w:pPr>
            <w:r>
              <w:rPr>
                <w:rFonts w:ascii="Arial" w:cs="Arial" w:eastAsia="Arial" w:hAnsi="Arial"/>
                <w:sz w:val="14"/>
                <w:szCs w:val="14"/>
                <w:color w:val="auto"/>
              </w:rPr>
              <w:t>210</w:t>
            </w:r>
          </w:p>
        </w:tc>
        <w:tc>
          <w:tcPr>
            <w:tcW w:w="120" w:type="dxa"/>
            <w:vAlign w:val="bottom"/>
            <w:tcBorders>
              <w:top w:val="single" w:sz="8" w:color="D4EFF3"/>
              <w:bottom w:val="single" w:sz="8" w:color="D4EFF3"/>
            </w:tcBorders>
            <w:shd w:val="clear" w:color="auto" w:fill="D4EFF3"/>
          </w:tcPr>
          <w:p>
            <w:pPr>
              <w:spacing w:after="0"/>
              <w:rPr>
                <w:sz w:val="14"/>
                <w:szCs w:val="14"/>
                <w:color w:val="auto"/>
              </w:rPr>
            </w:pPr>
          </w:p>
        </w:tc>
        <w:tc>
          <w:tcPr>
            <w:tcW w:w="240" w:type="dxa"/>
            <w:vAlign w:val="bottom"/>
            <w:tcBorders>
              <w:top w:val="single" w:sz="8" w:color="auto"/>
              <w:bottom w:val="single" w:sz="8" w:color="auto"/>
            </w:tcBorders>
            <w:shd w:val="clear" w:color="auto" w:fill="D4EFF3"/>
          </w:tcPr>
          <w:p>
            <w:pPr>
              <w:jc w:val="right"/>
              <w:ind w:right="14"/>
              <w:spacing w:after="0" w:line="141"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D4EFF3"/>
          </w:tcPr>
          <w:p>
            <w:pPr>
              <w:jc w:val="right"/>
              <w:spacing w:after="0" w:line="141" w:lineRule="exact"/>
              <w:rPr>
                <w:sz w:val="20"/>
                <w:szCs w:val="20"/>
                <w:color w:val="auto"/>
              </w:rPr>
            </w:pPr>
            <w:r>
              <w:rPr>
                <w:rFonts w:ascii="Arial" w:cs="Arial" w:eastAsia="Arial" w:hAnsi="Arial"/>
                <w:sz w:val="14"/>
                <w:szCs w:val="14"/>
                <w:color w:val="auto"/>
              </w:rPr>
              <w:t>(364,683)</w:t>
            </w:r>
          </w:p>
        </w:tc>
        <w:tc>
          <w:tcPr>
            <w:tcW w:w="100" w:type="dxa"/>
            <w:vAlign w:val="bottom"/>
            <w:tcBorders>
              <w:top w:val="single" w:sz="8" w:color="D4EFF3"/>
              <w:bottom w:val="single" w:sz="8" w:color="D4EFF3"/>
            </w:tcBorders>
            <w:shd w:val="clear" w:color="auto" w:fill="D4EFF3"/>
          </w:tcPr>
          <w:p>
            <w:pPr>
              <w:spacing w:after="0"/>
              <w:rPr>
                <w:sz w:val="14"/>
                <w:szCs w:val="14"/>
                <w:color w:val="auto"/>
              </w:rPr>
            </w:pPr>
          </w:p>
        </w:tc>
        <w:tc>
          <w:tcPr>
            <w:tcW w:w="260" w:type="dxa"/>
            <w:vAlign w:val="bottom"/>
            <w:tcBorders>
              <w:top w:val="single" w:sz="8" w:color="auto"/>
              <w:bottom w:val="single" w:sz="8" w:color="auto"/>
            </w:tcBorders>
            <w:shd w:val="clear" w:color="auto" w:fill="D4EFF3"/>
          </w:tcPr>
          <w:p>
            <w:pPr>
              <w:jc w:val="right"/>
              <w:ind w:right="34"/>
              <w:spacing w:after="0" w:line="14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D4EFF3"/>
          </w:tcPr>
          <w:p>
            <w:pPr>
              <w:jc w:val="right"/>
              <w:ind w:right="12"/>
              <w:spacing w:after="0" w:line="141" w:lineRule="exact"/>
              <w:rPr>
                <w:sz w:val="20"/>
                <w:szCs w:val="20"/>
                <w:color w:val="auto"/>
              </w:rPr>
            </w:pPr>
            <w:r>
              <w:rPr>
                <w:rFonts w:ascii="Arial" w:cs="Arial" w:eastAsia="Arial" w:hAnsi="Arial"/>
                <w:sz w:val="14"/>
                <w:szCs w:val="14"/>
                <w:color w:val="auto"/>
              </w:rPr>
              <w:t>125,233</w:t>
            </w:r>
          </w:p>
        </w:tc>
        <w:tc>
          <w:tcPr>
            <w:tcW w:w="0" w:type="dxa"/>
            <w:vAlign w:val="bottom"/>
          </w:tcPr>
          <w:p>
            <w:pPr>
              <w:spacing w:after="0"/>
              <w:rPr>
                <w:sz w:val="1"/>
                <w:szCs w:val="1"/>
                <w:color w:val="auto"/>
              </w:rPr>
            </w:pPr>
          </w:p>
        </w:tc>
      </w:tr>
      <w:tr>
        <w:trPr>
          <w:trHeight w:val="153"/>
        </w:trPr>
        <w:tc>
          <w:tcPr>
            <w:tcW w:w="3120" w:type="dxa"/>
            <w:vAlign w:val="bottom"/>
          </w:tcPr>
          <w:p>
            <w:pPr>
              <w:ind w:left="40"/>
              <w:spacing w:after="0" w:line="153" w:lineRule="exact"/>
              <w:rPr>
                <w:sz w:val="20"/>
                <w:szCs w:val="20"/>
                <w:color w:val="auto"/>
              </w:rPr>
            </w:pPr>
            <w:r>
              <w:rPr>
                <w:rFonts w:ascii="Arial" w:cs="Arial" w:eastAsia="Arial" w:hAnsi="Arial"/>
                <w:sz w:val="14"/>
                <w:szCs w:val="14"/>
                <w:color w:val="auto"/>
              </w:rPr>
              <w:t>Common stock and warrants issued, net of</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costs of $8.6 million</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39,290</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129,357</w:t>
            </w:r>
          </w:p>
        </w:tc>
        <w:tc>
          <w:tcPr>
            <w:tcW w:w="20" w:type="dxa"/>
            <w:vAlign w:val="bottom"/>
          </w:tcPr>
          <w:p>
            <w:pPr>
              <w:spacing w:after="0"/>
              <w:rPr>
                <w:sz w:val="16"/>
                <w:szCs w:val="16"/>
                <w:color w:val="auto"/>
              </w:rPr>
            </w:pPr>
          </w:p>
        </w:tc>
        <w:tc>
          <w:tcPr>
            <w:tcW w:w="340" w:type="dxa"/>
            <w:vAlign w:val="bottom"/>
            <w:gridSpan w:val="3"/>
          </w:tcPr>
          <w:p>
            <w:pPr>
              <w:jc w:val="right"/>
              <w:ind w:right="3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34"/>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129,361</w:t>
            </w: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D4EFF3"/>
          </w:tcPr>
          <w:p>
            <w:pPr>
              <w:ind w:left="40"/>
              <w:spacing w:after="0"/>
              <w:rPr>
                <w:sz w:val="20"/>
                <w:szCs w:val="20"/>
                <w:color w:val="auto"/>
              </w:rPr>
            </w:pPr>
            <w:r>
              <w:rPr>
                <w:rFonts w:ascii="Arial" w:cs="Arial" w:eastAsia="Arial" w:hAnsi="Arial"/>
                <w:sz w:val="14"/>
                <w:szCs w:val="14"/>
                <w:color w:val="auto"/>
              </w:rPr>
              <w:t>Common stock issued upon exercise of options</w:t>
            </w:r>
          </w:p>
        </w:tc>
        <w:tc>
          <w:tcPr>
            <w:tcW w:w="90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760" w:type="dxa"/>
            <w:vAlign w:val="bottom"/>
            <w:shd w:val="clear" w:color="auto" w:fill="D4EFF3"/>
          </w:tcPr>
          <w:p>
            <w:pPr>
              <w:jc w:val="right"/>
              <w:ind w:right="13"/>
              <w:spacing w:after="0"/>
              <w:rPr>
                <w:sz w:val="20"/>
                <w:szCs w:val="20"/>
                <w:color w:val="auto"/>
              </w:rPr>
            </w:pPr>
            <w:r>
              <w:rPr>
                <w:rFonts w:ascii="Arial" w:cs="Arial" w:eastAsia="Arial" w:hAnsi="Arial"/>
                <w:sz w:val="14"/>
                <w:szCs w:val="14"/>
                <w:color w:val="auto"/>
              </w:rPr>
              <w:t>1,275</w:t>
            </w:r>
          </w:p>
        </w:tc>
        <w:tc>
          <w:tcPr>
            <w:tcW w:w="20" w:type="dxa"/>
            <w:vAlign w:val="bottom"/>
            <w:shd w:val="clear" w:color="auto" w:fill="D4EFF3"/>
          </w:tcPr>
          <w:p>
            <w:pPr>
              <w:spacing w:after="0"/>
              <w:rPr>
                <w:sz w:val="17"/>
                <w:szCs w:val="17"/>
                <w:color w:val="auto"/>
              </w:rPr>
            </w:pPr>
          </w:p>
        </w:tc>
        <w:tc>
          <w:tcPr>
            <w:tcW w:w="8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82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700" w:type="dxa"/>
            <w:vAlign w:val="bottom"/>
            <w:shd w:val="clear" w:color="auto" w:fill="D4EFF3"/>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FF3"/>
          </w:tcPr>
          <w:p>
            <w:pPr>
              <w:spacing w:after="0"/>
              <w:rPr>
                <w:sz w:val="17"/>
                <w:szCs w:val="17"/>
                <w:color w:val="auto"/>
              </w:rPr>
            </w:pPr>
          </w:p>
        </w:tc>
        <w:tc>
          <w:tcPr>
            <w:tcW w:w="260" w:type="dxa"/>
            <w:vAlign w:val="bottom"/>
            <w:shd w:val="clear" w:color="auto" w:fill="D4EFF3"/>
          </w:tcPr>
          <w:p>
            <w:pPr>
              <w:spacing w:after="0"/>
              <w:rPr>
                <w:sz w:val="17"/>
                <w:szCs w:val="17"/>
                <w:color w:val="auto"/>
              </w:rPr>
            </w:pPr>
          </w:p>
        </w:tc>
        <w:tc>
          <w:tcPr>
            <w:tcW w:w="76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73"/>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Stock-based awards, net of tax remittance</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D4EFF3"/>
          </w:tcPr>
          <w:p>
            <w:pPr>
              <w:ind w:left="40"/>
              <w:spacing w:after="0"/>
              <w:rPr>
                <w:sz w:val="20"/>
                <w:szCs w:val="20"/>
                <w:color w:val="auto"/>
              </w:rPr>
            </w:pPr>
            <w:r>
              <w:rPr>
                <w:rFonts w:ascii="Arial" w:cs="Arial" w:eastAsia="Arial" w:hAnsi="Arial"/>
                <w:sz w:val="14"/>
                <w:szCs w:val="14"/>
                <w:color w:val="auto"/>
              </w:rPr>
              <w:t>Stock-based compensation</w:t>
            </w:r>
          </w:p>
        </w:tc>
        <w:tc>
          <w:tcPr>
            <w:tcW w:w="90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160" w:type="dxa"/>
            <w:vAlign w:val="bottom"/>
            <w:shd w:val="clear" w:color="auto" w:fill="D4EFF3"/>
          </w:tcPr>
          <w:p>
            <w:pPr>
              <w:spacing w:after="0"/>
              <w:rPr>
                <w:sz w:val="17"/>
                <w:szCs w:val="17"/>
                <w:color w:val="auto"/>
              </w:rPr>
            </w:pPr>
          </w:p>
        </w:tc>
        <w:tc>
          <w:tcPr>
            <w:tcW w:w="760" w:type="dxa"/>
            <w:vAlign w:val="bottom"/>
            <w:shd w:val="clear" w:color="auto" w:fill="D4EFF3"/>
          </w:tcPr>
          <w:p>
            <w:pPr>
              <w:jc w:val="right"/>
              <w:ind w:right="13"/>
              <w:spacing w:after="0"/>
              <w:rPr>
                <w:sz w:val="20"/>
                <w:szCs w:val="20"/>
                <w:color w:val="auto"/>
              </w:rPr>
            </w:pPr>
            <w:r>
              <w:rPr>
                <w:rFonts w:ascii="Arial" w:cs="Arial" w:eastAsia="Arial" w:hAnsi="Arial"/>
                <w:sz w:val="14"/>
                <w:szCs w:val="14"/>
                <w:color w:val="auto"/>
              </w:rPr>
              <w:t>8,368</w:t>
            </w:r>
          </w:p>
        </w:tc>
        <w:tc>
          <w:tcPr>
            <w:tcW w:w="20" w:type="dxa"/>
            <w:vAlign w:val="bottom"/>
            <w:shd w:val="clear" w:color="auto" w:fill="D4EFF3"/>
          </w:tcPr>
          <w:p>
            <w:pPr>
              <w:spacing w:after="0"/>
              <w:rPr>
                <w:sz w:val="17"/>
                <w:szCs w:val="17"/>
                <w:color w:val="auto"/>
              </w:rPr>
            </w:pPr>
          </w:p>
        </w:tc>
        <w:tc>
          <w:tcPr>
            <w:tcW w:w="80" w:type="dxa"/>
            <w:vAlign w:val="bottom"/>
            <w:shd w:val="clear" w:color="auto" w:fill="D4EFF3"/>
          </w:tcPr>
          <w:p>
            <w:pPr>
              <w:spacing w:after="0"/>
              <w:rPr>
                <w:sz w:val="17"/>
                <w:szCs w:val="17"/>
                <w:color w:val="auto"/>
              </w:rPr>
            </w:pPr>
          </w:p>
        </w:tc>
        <w:tc>
          <w:tcPr>
            <w:tcW w:w="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820" w:type="dxa"/>
            <w:vAlign w:val="bottom"/>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700" w:type="dxa"/>
            <w:vAlign w:val="bottom"/>
            <w:shd w:val="clear" w:color="auto" w:fill="D4EFF3"/>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FF3"/>
          </w:tcPr>
          <w:p>
            <w:pPr>
              <w:spacing w:after="0"/>
              <w:rPr>
                <w:sz w:val="17"/>
                <w:szCs w:val="17"/>
                <w:color w:val="auto"/>
              </w:rPr>
            </w:pPr>
          </w:p>
        </w:tc>
        <w:tc>
          <w:tcPr>
            <w:tcW w:w="260" w:type="dxa"/>
            <w:vAlign w:val="bottom"/>
            <w:shd w:val="clear" w:color="auto" w:fill="D4EFF3"/>
          </w:tcPr>
          <w:p>
            <w:pPr>
              <w:spacing w:after="0"/>
              <w:rPr>
                <w:sz w:val="17"/>
                <w:szCs w:val="17"/>
                <w:color w:val="auto"/>
              </w:rPr>
            </w:pPr>
          </w:p>
        </w:tc>
        <w:tc>
          <w:tcPr>
            <w:tcW w:w="760" w:type="dxa"/>
            <w:vAlign w:val="bottom"/>
            <w:shd w:val="clear" w:color="auto" w:fill="D4EFF3"/>
          </w:tcPr>
          <w:p>
            <w:pPr>
              <w:jc w:val="right"/>
              <w:ind w:right="12"/>
              <w:spacing w:after="0"/>
              <w:rPr>
                <w:sz w:val="20"/>
                <w:szCs w:val="20"/>
                <w:color w:val="auto"/>
              </w:rPr>
            </w:pPr>
            <w:r>
              <w:rPr>
                <w:rFonts w:ascii="Arial" w:cs="Arial" w:eastAsia="Arial" w:hAnsi="Arial"/>
                <w:sz w:val="14"/>
                <w:szCs w:val="14"/>
                <w:color w:val="auto"/>
              </w:rPr>
              <w:t>8,368</w:t>
            </w:r>
          </w:p>
        </w:tc>
        <w:tc>
          <w:tcPr>
            <w:tcW w:w="0" w:type="dxa"/>
            <w:vAlign w:val="bottom"/>
          </w:tcPr>
          <w:p>
            <w:pPr>
              <w:spacing w:after="0"/>
              <w:rPr>
                <w:sz w:val="1"/>
                <w:szCs w:val="1"/>
                <w:color w:val="auto"/>
              </w:rPr>
            </w:pPr>
          </w:p>
        </w:tc>
      </w:tr>
      <w:tr>
        <w:trPr>
          <w:trHeight w:val="181"/>
        </w:trPr>
        <w:tc>
          <w:tcPr>
            <w:tcW w:w="3140" w:type="dxa"/>
            <w:vAlign w:val="bottom"/>
            <w:gridSpan w:val="2"/>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shd w:val="clear" w:color="auto" w:fill="D4EFF3"/>
          </w:tcPr>
          <w:p>
            <w:pPr>
              <w:spacing w:after="0"/>
              <w:rPr>
                <w:sz w:val="16"/>
                <w:szCs w:val="16"/>
                <w:color w:val="auto"/>
              </w:rPr>
            </w:pPr>
          </w:p>
        </w:tc>
        <w:tc>
          <w:tcPr>
            <w:tcW w:w="900" w:type="dxa"/>
            <w:vAlign w:val="bottom"/>
            <w:tcBorders>
              <w:bottom w:val="single" w:sz="8" w:color="auto"/>
            </w:tcBorders>
            <w:shd w:val="clear" w:color="auto" w:fill="D4EFF3"/>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4EFF3"/>
            </w:tcBorders>
            <w:shd w:val="clear" w:color="auto" w:fill="D4EFF3"/>
          </w:tcPr>
          <w:p>
            <w:pPr>
              <w:spacing w:after="0"/>
              <w:rPr>
                <w:sz w:val="16"/>
                <w:szCs w:val="16"/>
                <w:color w:val="auto"/>
              </w:rPr>
            </w:pPr>
          </w:p>
        </w:tc>
        <w:tc>
          <w:tcPr>
            <w:tcW w:w="20" w:type="dxa"/>
            <w:vAlign w:val="bottom"/>
            <w:tcBorders>
              <w:bottom w:val="single" w:sz="8" w:color="D4EFF3"/>
            </w:tcBorders>
            <w:shd w:val="clear" w:color="auto" w:fill="D4EFF3"/>
          </w:tcPr>
          <w:p>
            <w:pPr>
              <w:spacing w:after="0"/>
              <w:rPr>
                <w:sz w:val="16"/>
                <w:szCs w:val="16"/>
                <w:color w:val="auto"/>
              </w:rPr>
            </w:pPr>
          </w:p>
        </w:tc>
        <w:tc>
          <w:tcPr>
            <w:tcW w:w="160" w:type="dxa"/>
            <w:vAlign w:val="bottom"/>
            <w:tcBorders>
              <w:bottom w:val="single" w:sz="8" w:color="auto"/>
            </w:tcBorders>
            <w:shd w:val="clear" w:color="auto" w:fill="D4EFF3"/>
          </w:tcPr>
          <w:p>
            <w:pPr>
              <w:spacing w:after="0"/>
              <w:rPr>
                <w:sz w:val="16"/>
                <w:szCs w:val="16"/>
                <w:color w:val="auto"/>
              </w:rPr>
            </w:pPr>
          </w:p>
        </w:tc>
        <w:tc>
          <w:tcPr>
            <w:tcW w:w="600" w:type="dxa"/>
            <w:vAlign w:val="bottom"/>
            <w:tcBorders>
              <w:bottom w:val="single" w:sz="8" w:color="auto"/>
            </w:tcBorders>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4EFF3"/>
            </w:tcBorders>
            <w:shd w:val="clear" w:color="auto" w:fill="D4EFF3"/>
          </w:tcPr>
          <w:p>
            <w:pPr>
              <w:spacing w:after="0"/>
              <w:rPr>
                <w:sz w:val="16"/>
                <w:szCs w:val="16"/>
                <w:color w:val="auto"/>
              </w:rPr>
            </w:pPr>
          </w:p>
        </w:tc>
        <w:tc>
          <w:tcPr>
            <w:tcW w:w="20" w:type="dxa"/>
            <w:vAlign w:val="bottom"/>
            <w:tcBorders>
              <w:bottom w:val="single" w:sz="8" w:color="D4EFF3"/>
            </w:tcBorders>
            <w:shd w:val="clear" w:color="auto" w:fill="D4EFF3"/>
          </w:tcPr>
          <w:p>
            <w:pPr>
              <w:spacing w:after="0"/>
              <w:rPr>
                <w:sz w:val="16"/>
                <w:szCs w:val="16"/>
                <w:color w:val="auto"/>
              </w:rPr>
            </w:pPr>
          </w:p>
        </w:tc>
        <w:tc>
          <w:tcPr>
            <w:tcW w:w="160" w:type="dxa"/>
            <w:vAlign w:val="bottom"/>
            <w:tcBorders>
              <w:bottom w:val="single" w:sz="8" w:color="auto"/>
            </w:tcBorders>
            <w:shd w:val="clear" w:color="auto" w:fill="D4EFF3"/>
          </w:tcPr>
          <w:p>
            <w:pPr>
              <w:spacing w:after="0"/>
              <w:rPr>
                <w:sz w:val="16"/>
                <w:szCs w:val="16"/>
                <w:color w:val="auto"/>
              </w:rPr>
            </w:pPr>
          </w:p>
        </w:tc>
        <w:tc>
          <w:tcPr>
            <w:tcW w:w="760" w:type="dxa"/>
            <w:vAlign w:val="bottom"/>
            <w:tcBorders>
              <w:bottom w:val="single" w:sz="8" w:color="auto"/>
            </w:tcBorders>
            <w:shd w:val="clear" w:color="auto" w:fill="D4EFF3"/>
          </w:tcPr>
          <w:p>
            <w:pPr>
              <w:jc w:val="right"/>
              <w:ind w:right="33"/>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D4EFF3"/>
            </w:tcBorders>
            <w:shd w:val="clear" w:color="auto" w:fill="D4EFF3"/>
          </w:tcPr>
          <w:p>
            <w:pPr>
              <w:spacing w:after="0"/>
              <w:rPr>
                <w:sz w:val="16"/>
                <w:szCs w:val="16"/>
                <w:color w:val="auto"/>
              </w:rPr>
            </w:pPr>
          </w:p>
        </w:tc>
        <w:tc>
          <w:tcPr>
            <w:tcW w:w="80" w:type="dxa"/>
            <w:vAlign w:val="bottom"/>
            <w:tcBorders>
              <w:bottom w:val="single" w:sz="8" w:color="D4EFF3"/>
            </w:tcBorders>
            <w:shd w:val="clear" w:color="auto" w:fill="D4EFF3"/>
          </w:tcPr>
          <w:p>
            <w:pPr>
              <w:spacing w:after="0"/>
              <w:rPr>
                <w:sz w:val="16"/>
                <w:szCs w:val="16"/>
                <w:color w:val="auto"/>
              </w:rPr>
            </w:pPr>
          </w:p>
        </w:tc>
        <w:tc>
          <w:tcPr>
            <w:tcW w:w="20" w:type="dxa"/>
            <w:vAlign w:val="bottom"/>
            <w:tcBorders>
              <w:bottom w:val="single" w:sz="8" w:color="D4EFF3"/>
            </w:tcBorders>
            <w:shd w:val="clear" w:color="auto" w:fill="D4EFF3"/>
          </w:tcPr>
          <w:p>
            <w:pPr>
              <w:spacing w:after="0"/>
              <w:rPr>
                <w:sz w:val="16"/>
                <w:szCs w:val="16"/>
                <w:color w:val="auto"/>
              </w:rPr>
            </w:pPr>
          </w:p>
        </w:tc>
        <w:tc>
          <w:tcPr>
            <w:tcW w:w="240" w:type="dxa"/>
            <w:vAlign w:val="bottom"/>
            <w:tcBorders>
              <w:bottom w:val="single" w:sz="8" w:color="auto"/>
            </w:tcBorders>
            <w:shd w:val="clear" w:color="auto" w:fill="D4EFF3"/>
          </w:tcPr>
          <w:p>
            <w:pPr>
              <w:spacing w:after="0"/>
              <w:rPr>
                <w:sz w:val="16"/>
                <w:szCs w:val="16"/>
                <w:color w:val="auto"/>
              </w:rPr>
            </w:pPr>
          </w:p>
        </w:tc>
        <w:tc>
          <w:tcPr>
            <w:tcW w:w="820" w:type="dxa"/>
            <w:vAlign w:val="bottom"/>
            <w:tcBorders>
              <w:bottom w:val="single" w:sz="8" w:color="auto"/>
            </w:tcBorders>
            <w:shd w:val="clear" w:color="auto" w:fill="D4EFF3"/>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4EFF3"/>
            </w:tcBorders>
            <w:shd w:val="clear" w:color="auto" w:fill="D4EFF3"/>
          </w:tcPr>
          <w:p>
            <w:pPr>
              <w:spacing w:after="0"/>
              <w:rPr>
                <w:sz w:val="16"/>
                <w:szCs w:val="16"/>
                <w:color w:val="auto"/>
              </w:rPr>
            </w:pPr>
          </w:p>
        </w:tc>
        <w:tc>
          <w:tcPr>
            <w:tcW w:w="240" w:type="dxa"/>
            <w:vAlign w:val="bottom"/>
            <w:tcBorders>
              <w:bottom w:val="single" w:sz="8" w:color="auto"/>
            </w:tcBorders>
            <w:shd w:val="clear" w:color="auto" w:fill="D4EFF3"/>
          </w:tcPr>
          <w:p>
            <w:pPr>
              <w:spacing w:after="0"/>
              <w:rPr>
                <w:sz w:val="16"/>
                <w:szCs w:val="16"/>
                <w:color w:val="auto"/>
              </w:rPr>
            </w:pPr>
          </w:p>
        </w:tc>
        <w:tc>
          <w:tcPr>
            <w:tcW w:w="7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4"/>
                <w:szCs w:val="14"/>
                <w:color w:val="auto"/>
              </w:rPr>
              <w:t>(66,489)</w:t>
            </w:r>
          </w:p>
        </w:tc>
        <w:tc>
          <w:tcPr>
            <w:tcW w:w="100" w:type="dxa"/>
            <w:vAlign w:val="bottom"/>
            <w:tcBorders>
              <w:bottom w:val="single" w:sz="8" w:color="D4EFF3"/>
            </w:tcBorders>
            <w:shd w:val="clear" w:color="auto" w:fill="D4EFF3"/>
          </w:tcPr>
          <w:p>
            <w:pPr>
              <w:spacing w:after="0"/>
              <w:rPr>
                <w:sz w:val="16"/>
                <w:szCs w:val="16"/>
                <w:color w:val="auto"/>
              </w:rPr>
            </w:pPr>
          </w:p>
        </w:tc>
        <w:tc>
          <w:tcPr>
            <w:tcW w:w="260" w:type="dxa"/>
            <w:vAlign w:val="bottom"/>
            <w:tcBorders>
              <w:bottom w:val="single" w:sz="8" w:color="auto"/>
            </w:tcBorders>
            <w:shd w:val="clear" w:color="auto" w:fill="D4EFF3"/>
          </w:tcPr>
          <w:p>
            <w:pPr>
              <w:spacing w:after="0"/>
              <w:rPr>
                <w:sz w:val="16"/>
                <w:szCs w:val="16"/>
                <w:color w:val="auto"/>
              </w:rPr>
            </w:pPr>
          </w:p>
        </w:tc>
        <w:tc>
          <w:tcPr>
            <w:tcW w:w="76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4"/>
                <w:szCs w:val="14"/>
                <w:color w:val="auto"/>
              </w:rPr>
              <w:t>(66,489)</w:t>
            </w:r>
          </w:p>
        </w:tc>
        <w:tc>
          <w:tcPr>
            <w:tcW w:w="0" w:type="dxa"/>
            <w:vAlign w:val="bottom"/>
          </w:tcPr>
          <w:p>
            <w:pPr>
              <w:spacing w:after="0"/>
              <w:rPr>
                <w:sz w:val="1"/>
                <w:szCs w:val="1"/>
                <w:color w:val="auto"/>
              </w:rPr>
            </w:pPr>
          </w:p>
        </w:tc>
      </w:tr>
      <w:tr>
        <w:trPr>
          <w:trHeight w:val="166"/>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2025</w:t>
            </w: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178,324</w:t>
            </w:r>
          </w:p>
        </w:tc>
        <w:tc>
          <w:tcPr>
            <w:tcW w:w="140" w:type="dxa"/>
            <w:vAlign w:val="bottom"/>
            <w:gridSpan w:val="2"/>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627,665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(431,172)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196,791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3803650</wp:posOffset>
                </wp:positionH>
                <wp:positionV relativeFrom="paragraph">
                  <wp:posOffset>-1923415</wp:posOffset>
                </wp:positionV>
                <wp:extent cx="0" cy="1143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2">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5pt,-151.4499pt" to="299.5pt,-150.5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4561840</wp:posOffset>
                </wp:positionH>
                <wp:positionV relativeFrom="paragraph">
                  <wp:posOffset>-1923415</wp:posOffset>
                </wp:positionV>
                <wp:extent cx="0" cy="1143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2">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2pt,-151.4499pt" to="359.2pt,-150.5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4561840</wp:posOffset>
                </wp:positionH>
                <wp:positionV relativeFrom="paragraph">
                  <wp:posOffset>-1087755</wp:posOffset>
                </wp:positionV>
                <wp:extent cx="0" cy="1143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2">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2pt,-85.6499pt" to="359.2pt,-84.7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4561840</wp:posOffset>
                </wp:positionH>
                <wp:positionV relativeFrom="paragraph">
                  <wp:posOffset>-972820</wp:posOffset>
                </wp:positionV>
                <wp:extent cx="0" cy="1143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2">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2pt,-76.5999pt" to="359.2pt,-75.69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5226685</wp:posOffset>
                </wp:positionH>
                <wp:positionV relativeFrom="paragraph">
                  <wp:posOffset>-972820</wp:posOffset>
                </wp:positionV>
                <wp:extent cx="0" cy="2222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25"/>
                        </a:xfrm>
                        <a:prstGeom prst="line">
                          <a:avLst/>
                        </a:prstGeom>
                        <a:solidFill>
                          <a:srgbClr val="FFFFFF"/>
                        </a:solidFill>
                        <a:ln w="12">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5pt,-76.5999pt" to="411.55pt,-74.8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5226685</wp:posOffset>
                </wp:positionH>
                <wp:positionV relativeFrom="paragraph">
                  <wp:posOffset>-136525</wp:posOffset>
                </wp:positionV>
                <wp:extent cx="0" cy="1143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2">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5pt,-10.7499pt" to="411.55pt,-9.8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5226685</wp:posOffset>
                </wp:positionH>
                <wp:positionV relativeFrom="paragraph">
                  <wp:posOffset>-21590</wp:posOffset>
                </wp:positionV>
                <wp:extent cx="0" cy="2159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90"/>
                        </a:xfrm>
                        <a:prstGeom prst="line">
                          <a:avLst/>
                        </a:prstGeom>
                        <a:solidFill>
                          <a:srgbClr val="FFFFFF"/>
                        </a:solidFill>
                        <a:ln w="12">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5pt,-1.6999pt" to="411.55pt,0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-1923415</wp:posOffset>
                </wp:positionV>
                <wp:extent cx="0" cy="1143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3">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151.4499pt" to="467.55pt,-150.5499pt" o:allowincell="f" strokecolor="#000000" strokeweight="0.001pt"/>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-1087755</wp:posOffset>
                </wp:positionV>
                <wp:extent cx="0" cy="1143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3">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85.6499pt" to="467.55pt,-84.7499pt" o:allowincell="f" strokecolor="#000000" strokeweight="0.001pt"/>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-972820</wp:posOffset>
                </wp:positionV>
                <wp:extent cx="0" cy="2222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225"/>
                        </a:xfrm>
                        <a:prstGeom prst="line">
                          <a:avLst/>
                        </a:prstGeom>
                        <a:solidFill>
                          <a:srgbClr val="FFFFFF"/>
                        </a:solidFill>
                        <a:ln w="13">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76.5999pt" to="467.55pt,-74.8499pt" o:allowincell="f" strokecolor="#000000" strokeweight="0.001pt"/>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-136525</wp:posOffset>
                </wp:positionV>
                <wp:extent cx="0" cy="1143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
                        </a:xfrm>
                        <a:prstGeom prst="line">
                          <a:avLst/>
                        </a:prstGeom>
                        <a:solidFill>
                          <a:srgbClr val="FFFFFF"/>
                        </a:solidFill>
                        <a:ln w="13">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10.7499pt" to="467.55pt,-9.8499pt" o:allowincell="f" strokecolor="#000000" strokeweight="0.001pt"/>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-21590</wp:posOffset>
                </wp:positionV>
                <wp:extent cx="0" cy="2159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90"/>
                        </a:xfrm>
                        <a:prstGeom prst="line">
                          <a:avLst/>
                        </a:prstGeom>
                        <a:solidFill>
                          <a:srgbClr val="FFFFFF"/>
                        </a:solidFill>
                        <a:ln w="13">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1.6999pt" to="467.55pt,0pt" o:allowincell="f" strokecolor="#000000" strokeweight="0.001pt"/>
            </w:pict>
          </mc:Fallback>
        </mc:AlternateConten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2240" w:h="15840" w:orient="portrait"/>
          <w:cols w:equalWidth="0" w:num="1">
            <w:col w:w="9360"/>
          </w:cols>
          <w:pgMar w:left="1440" w:top="1416" w:right="1440" w:bottom="163"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Compass Therapeutics,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rPr>
              <w:t>Year Ended December 31,</w:t>
            </w:r>
          </w:p>
        </w:tc>
      </w:tr>
      <w:tr>
        <w:trPr>
          <w:trHeight w:val="177"/>
        </w:trPr>
        <w:tc>
          <w:tcPr>
            <w:tcW w:w="6320" w:type="dxa"/>
            <w:vAlign w:val="bottom"/>
            <w:tcBorders>
              <w:bottom w:val="single" w:sz="8" w:color="D4EFF3"/>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D4EFF3"/>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5"/>
                <w:szCs w:val="15"/>
                <w:b w:val="1"/>
                <w:bCs w:val="1"/>
                <w:color w:val="auto"/>
              </w:rPr>
              <w:t>2024</w:t>
            </w:r>
          </w:p>
        </w:tc>
      </w:tr>
      <w:tr>
        <w:trPr>
          <w:trHeight w:val="247"/>
        </w:trPr>
        <w:tc>
          <w:tcPr>
            <w:tcW w:w="6320" w:type="dxa"/>
            <w:vAlign w:val="bottom"/>
            <w:shd w:val="clear" w:color="auto" w:fill="D4EFF3"/>
          </w:tcPr>
          <w:p>
            <w:pPr>
              <w:ind w:left="20"/>
              <w:spacing w:after="0"/>
              <w:rPr>
                <w:sz w:val="20"/>
                <w:szCs w:val="20"/>
                <w:color w:val="auto"/>
              </w:rPr>
            </w:pPr>
            <w:r>
              <w:rPr>
                <w:rFonts w:ascii="Arial" w:cs="Arial" w:eastAsia="Arial" w:hAnsi="Arial"/>
                <w:sz w:val="20"/>
                <w:szCs w:val="20"/>
                <w:b w:val="1"/>
                <w:bCs w:val="1"/>
                <w:color w:val="auto"/>
              </w:rPr>
              <w:t>Cash flows from operating activities:</w:t>
            </w:r>
          </w:p>
        </w:tc>
        <w:tc>
          <w:tcPr>
            <w:tcW w:w="420" w:type="dxa"/>
            <w:vAlign w:val="bottom"/>
            <w:shd w:val="clear" w:color="auto" w:fill="D4EFF3"/>
          </w:tcPr>
          <w:p>
            <w:pPr>
              <w:spacing w:after="0"/>
              <w:rPr>
                <w:sz w:val="21"/>
                <w:szCs w:val="21"/>
                <w:color w:val="auto"/>
              </w:rPr>
            </w:pPr>
          </w:p>
        </w:tc>
        <w:tc>
          <w:tcPr>
            <w:tcW w:w="1020" w:type="dxa"/>
            <w:vAlign w:val="bottom"/>
            <w:shd w:val="clear" w:color="auto" w:fill="D4EFF3"/>
          </w:tcPr>
          <w:p>
            <w:pPr>
              <w:spacing w:after="0"/>
              <w:rPr>
                <w:sz w:val="21"/>
                <w:szCs w:val="21"/>
                <w:color w:val="auto"/>
              </w:rPr>
            </w:pPr>
          </w:p>
        </w:tc>
        <w:tc>
          <w:tcPr>
            <w:tcW w:w="140" w:type="dxa"/>
            <w:vAlign w:val="bottom"/>
            <w:shd w:val="clear" w:color="auto" w:fill="D4EFF3"/>
          </w:tcPr>
          <w:p>
            <w:pPr>
              <w:spacing w:after="0"/>
              <w:rPr>
                <w:sz w:val="21"/>
                <w:szCs w:val="21"/>
                <w:color w:val="auto"/>
              </w:rPr>
            </w:pPr>
          </w:p>
        </w:tc>
        <w:tc>
          <w:tcPr>
            <w:tcW w:w="420" w:type="dxa"/>
            <w:vAlign w:val="bottom"/>
            <w:shd w:val="clear" w:color="auto" w:fill="D4EFF3"/>
          </w:tcPr>
          <w:p>
            <w:pPr>
              <w:spacing w:after="0"/>
              <w:rPr>
                <w:sz w:val="21"/>
                <w:szCs w:val="21"/>
                <w:color w:val="auto"/>
              </w:rPr>
            </w:pPr>
          </w:p>
        </w:tc>
        <w:tc>
          <w:tcPr>
            <w:tcW w:w="1000" w:type="dxa"/>
            <w:vAlign w:val="bottom"/>
            <w:shd w:val="clear" w:color="auto" w:fill="D4EFF3"/>
          </w:tcPr>
          <w:p>
            <w:pPr>
              <w:spacing w:after="0"/>
              <w:rPr>
                <w:sz w:val="21"/>
                <w:szCs w:val="21"/>
                <w:color w:val="auto"/>
              </w:rPr>
            </w:pPr>
          </w:p>
        </w:tc>
      </w:tr>
      <w:tr>
        <w:trPr>
          <w:trHeight w:val="244"/>
        </w:trPr>
        <w:tc>
          <w:tcPr>
            <w:tcW w:w="6320" w:type="dxa"/>
            <w:vAlign w:val="bottom"/>
          </w:tcPr>
          <w:p>
            <w:pPr>
              <w:ind w:left="20"/>
              <w:spacing w:after="0"/>
              <w:rPr>
                <w:sz w:val="20"/>
                <w:szCs w:val="20"/>
                <w:color w:val="auto"/>
              </w:rPr>
            </w:pPr>
            <w:r>
              <w:rPr>
                <w:rFonts w:ascii="Arial" w:cs="Arial" w:eastAsia="Arial" w:hAnsi="Arial"/>
                <w:sz w:val="20"/>
                <w:szCs w:val="20"/>
                <w:color w:val="auto"/>
              </w:rPr>
              <w:t>Net loss</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(66,489)</w:t>
            </w:r>
          </w:p>
        </w:tc>
        <w:tc>
          <w:tcPr>
            <w:tcW w:w="56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(49,375)</w:t>
            </w:r>
          </w:p>
        </w:tc>
      </w:tr>
      <w:tr>
        <w:trPr>
          <w:trHeight w:val="267"/>
        </w:trPr>
        <w:tc>
          <w:tcPr>
            <w:tcW w:w="6320" w:type="dxa"/>
            <w:vAlign w:val="bottom"/>
            <w:shd w:val="clear" w:color="auto" w:fill="D4EFF3"/>
          </w:tcPr>
          <w:p>
            <w:pPr>
              <w:ind w:left="20"/>
              <w:spacing w:after="0"/>
              <w:rPr>
                <w:sz w:val="20"/>
                <w:szCs w:val="20"/>
                <w:color w:val="auto"/>
              </w:rPr>
            </w:pPr>
            <w:r>
              <w:rPr>
                <w:rFonts w:ascii="Arial" w:cs="Arial" w:eastAsia="Arial" w:hAnsi="Arial"/>
                <w:sz w:val="20"/>
                <w:szCs w:val="20"/>
                <w:color w:val="auto"/>
                <w:w w:val="97"/>
              </w:rPr>
              <w:t>Adjustments to reconcile net loss to net cash used in operating activities:</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spacing w:after="0"/>
              <w:rPr>
                <w:sz w:val="23"/>
                <w:szCs w:val="23"/>
                <w:color w:val="auto"/>
              </w:rPr>
            </w:pP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spacing w:after="0"/>
              <w:rPr>
                <w:sz w:val="23"/>
                <w:szCs w:val="23"/>
                <w:color w:val="auto"/>
              </w:rPr>
            </w:pPr>
          </w:p>
        </w:tc>
      </w:tr>
      <w:tr>
        <w:trPr>
          <w:trHeight w:val="244"/>
        </w:trPr>
        <w:tc>
          <w:tcPr>
            <w:tcW w:w="6320" w:type="dxa"/>
            <w:vAlign w:val="bottom"/>
          </w:tcPr>
          <w:p>
            <w:pPr>
              <w:ind w:left="30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276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20"/>
                <w:szCs w:val="20"/>
                <w:color w:val="auto"/>
              </w:rPr>
              <w:t>589</w:t>
            </w:r>
          </w:p>
        </w:tc>
      </w:tr>
      <w:tr>
        <w:trPr>
          <w:trHeight w:val="267"/>
        </w:trPr>
        <w:tc>
          <w:tcPr>
            <w:tcW w:w="6320" w:type="dxa"/>
            <w:vAlign w:val="bottom"/>
            <w:shd w:val="clear" w:color="auto" w:fill="D4EFF3"/>
          </w:tcPr>
          <w:p>
            <w:pPr>
              <w:ind w:left="300"/>
              <w:spacing w:after="0"/>
              <w:rPr>
                <w:sz w:val="20"/>
                <w:szCs w:val="20"/>
                <w:color w:val="auto"/>
              </w:rPr>
            </w:pPr>
            <w:r>
              <w:rPr>
                <w:rFonts w:ascii="Arial" w:cs="Arial" w:eastAsia="Arial" w:hAnsi="Arial"/>
                <w:sz w:val="20"/>
                <w:szCs w:val="20"/>
                <w:color w:val="auto"/>
              </w:rPr>
              <w:t>Stock-based compensation</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23"/>
              <w:spacing w:after="0"/>
              <w:rPr>
                <w:sz w:val="20"/>
                <w:szCs w:val="20"/>
                <w:color w:val="auto"/>
              </w:rPr>
            </w:pPr>
            <w:r>
              <w:rPr>
                <w:rFonts w:ascii="Arial" w:cs="Arial" w:eastAsia="Arial" w:hAnsi="Arial"/>
                <w:sz w:val="20"/>
                <w:szCs w:val="20"/>
                <w:color w:val="auto"/>
              </w:rPr>
              <w:t>8,368</w:t>
            </w: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jc w:val="right"/>
              <w:ind w:right="2"/>
              <w:spacing w:after="0"/>
              <w:rPr>
                <w:sz w:val="20"/>
                <w:szCs w:val="20"/>
                <w:color w:val="auto"/>
              </w:rPr>
            </w:pPr>
            <w:r>
              <w:rPr>
                <w:rFonts w:ascii="Arial" w:cs="Arial" w:eastAsia="Arial" w:hAnsi="Arial"/>
                <w:sz w:val="20"/>
                <w:szCs w:val="20"/>
                <w:color w:val="auto"/>
              </w:rPr>
              <w:t>8,560</w:t>
            </w:r>
          </w:p>
        </w:tc>
      </w:tr>
      <w:tr>
        <w:trPr>
          <w:trHeight w:val="244"/>
        </w:trPr>
        <w:tc>
          <w:tcPr>
            <w:tcW w:w="6320" w:type="dxa"/>
            <w:vAlign w:val="bottom"/>
          </w:tcPr>
          <w:p>
            <w:pPr>
              <w:ind w:left="300"/>
              <w:spacing w:after="0"/>
              <w:rPr>
                <w:sz w:val="20"/>
                <w:szCs w:val="20"/>
                <w:color w:val="auto"/>
              </w:rPr>
            </w:pPr>
            <w:r>
              <w:rPr>
                <w:rFonts w:ascii="Arial" w:cs="Arial" w:eastAsia="Arial" w:hAnsi="Arial"/>
                <w:sz w:val="20"/>
                <w:szCs w:val="20"/>
                <w:color w:val="auto"/>
              </w:rPr>
              <w:t>Amortization of premium and discount on marketable securities</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(1,673)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(1,651)</w:t>
            </w:r>
          </w:p>
        </w:tc>
      </w:tr>
      <w:tr>
        <w:trPr>
          <w:trHeight w:val="267"/>
        </w:trPr>
        <w:tc>
          <w:tcPr>
            <w:tcW w:w="6320" w:type="dxa"/>
            <w:vAlign w:val="bottom"/>
            <w:shd w:val="clear" w:color="auto" w:fill="D4EFF3"/>
          </w:tcPr>
          <w:p>
            <w:pPr>
              <w:ind w:left="300"/>
              <w:spacing w:after="0"/>
              <w:rPr>
                <w:sz w:val="20"/>
                <w:szCs w:val="20"/>
                <w:color w:val="auto"/>
              </w:rPr>
            </w:pPr>
            <w:r>
              <w:rPr>
                <w:rFonts w:ascii="Arial" w:cs="Arial" w:eastAsia="Arial" w:hAnsi="Arial"/>
                <w:sz w:val="20"/>
                <w:szCs w:val="20"/>
                <w:color w:val="auto"/>
              </w:rPr>
              <w:t>ROU asset amortization</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23"/>
              <w:spacing w:after="0"/>
              <w:rPr>
                <w:sz w:val="20"/>
                <w:szCs w:val="20"/>
                <w:color w:val="auto"/>
              </w:rPr>
            </w:pPr>
            <w:r>
              <w:rPr>
                <w:rFonts w:ascii="Arial" w:cs="Arial" w:eastAsia="Arial" w:hAnsi="Arial"/>
                <w:sz w:val="20"/>
                <w:szCs w:val="20"/>
                <w:color w:val="auto"/>
              </w:rPr>
              <w:t>1,196</w:t>
            </w: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jc w:val="right"/>
              <w:ind w:right="2"/>
              <w:spacing w:after="0"/>
              <w:rPr>
                <w:sz w:val="20"/>
                <w:szCs w:val="20"/>
                <w:color w:val="auto"/>
              </w:rPr>
            </w:pPr>
            <w:r>
              <w:rPr>
                <w:rFonts w:ascii="Arial" w:cs="Arial" w:eastAsia="Arial" w:hAnsi="Arial"/>
                <w:sz w:val="20"/>
                <w:szCs w:val="20"/>
                <w:color w:val="auto"/>
              </w:rPr>
              <w:t>1,164</w:t>
            </w:r>
          </w:p>
        </w:tc>
      </w:tr>
      <w:tr>
        <w:trPr>
          <w:trHeight w:val="244"/>
        </w:trPr>
        <w:tc>
          <w:tcPr>
            <w:tcW w:w="6320" w:type="dxa"/>
            <w:vAlign w:val="bottom"/>
          </w:tcPr>
          <w:p>
            <w:pPr>
              <w:ind w:left="20"/>
              <w:spacing w:after="0"/>
              <w:rPr>
                <w:sz w:val="20"/>
                <w:szCs w:val="20"/>
                <w:color w:val="auto"/>
              </w:rPr>
            </w:pPr>
            <w:r>
              <w:rPr>
                <w:rFonts w:ascii="Arial" w:cs="Arial" w:eastAsia="Arial" w:hAnsi="Arial"/>
                <w:sz w:val="20"/>
                <w:szCs w:val="20"/>
                <w:color w:val="auto"/>
              </w:rPr>
              <w:t>Changes in operating assets and liabilities:</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7"/>
        </w:trPr>
        <w:tc>
          <w:tcPr>
            <w:tcW w:w="6320" w:type="dxa"/>
            <w:vAlign w:val="bottom"/>
            <w:shd w:val="clear" w:color="auto" w:fill="D4EFF3"/>
          </w:tcPr>
          <w:p>
            <w:pPr>
              <w:ind w:left="300"/>
              <w:spacing w:after="0"/>
              <w:rPr>
                <w:sz w:val="20"/>
                <w:szCs w:val="20"/>
                <w:color w:val="auto"/>
              </w:rPr>
            </w:pPr>
            <w:r>
              <w:rPr>
                <w:rFonts w:ascii="Arial" w:cs="Arial" w:eastAsia="Arial" w:hAnsi="Arial"/>
                <w:sz w:val="20"/>
                <w:szCs w:val="20"/>
                <w:color w:val="auto"/>
              </w:rPr>
              <w:t>Prepaid expenses and other current assets</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23"/>
              <w:spacing w:after="0"/>
              <w:rPr>
                <w:sz w:val="20"/>
                <w:szCs w:val="20"/>
                <w:color w:val="auto"/>
              </w:rPr>
            </w:pPr>
            <w:r>
              <w:rPr>
                <w:rFonts w:ascii="Arial" w:cs="Arial" w:eastAsia="Arial" w:hAnsi="Arial"/>
                <w:sz w:val="20"/>
                <w:szCs w:val="20"/>
                <w:color w:val="auto"/>
              </w:rPr>
              <w:t>5,116</w:t>
            </w: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jc w:val="right"/>
              <w:spacing w:after="0"/>
              <w:rPr>
                <w:sz w:val="20"/>
                <w:szCs w:val="20"/>
                <w:color w:val="auto"/>
              </w:rPr>
            </w:pPr>
            <w:r>
              <w:rPr>
                <w:rFonts w:ascii="Arial" w:cs="Arial" w:eastAsia="Arial" w:hAnsi="Arial"/>
                <w:sz w:val="20"/>
                <w:szCs w:val="20"/>
                <w:color w:val="auto"/>
              </w:rPr>
              <w:t>(4,857)</w:t>
            </w:r>
          </w:p>
        </w:tc>
      </w:tr>
      <w:tr>
        <w:trPr>
          <w:trHeight w:val="244"/>
        </w:trPr>
        <w:tc>
          <w:tcPr>
            <w:tcW w:w="6320" w:type="dxa"/>
            <w:vAlign w:val="bottom"/>
          </w:tcPr>
          <w:p>
            <w:pPr>
              <w:ind w:left="300"/>
              <w:spacing w:after="0"/>
              <w:rPr>
                <w:sz w:val="20"/>
                <w:szCs w:val="20"/>
                <w:color w:val="auto"/>
              </w:rPr>
            </w:pPr>
            <w:r>
              <w:rPr>
                <w:rFonts w:ascii="Arial" w:cs="Arial" w:eastAsia="Arial" w:hAnsi="Arial"/>
                <w:sz w:val="20"/>
                <w:szCs w:val="20"/>
                <w:color w:val="auto"/>
              </w:rPr>
              <w:t>Accounts payable</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(664)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(1,841)</w:t>
            </w:r>
          </w:p>
        </w:tc>
      </w:tr>
      <w:tr>
        <w:trPr>
          <w:trHeight w:val="267"/>
        </w:trPr>
        <w:tc>
          <w:tcPr>
            <w:tcW w:w="6320" w:type="dxa"/>
            <w:vAlign w:val="bottom"/>
            <w:shd w:val="clear" w:color="auto" w:fill="D4EFF3"/>
          </w:tcPr>
          <w:p>
            <w:pPr>
              <w:ind w:left="300"/>
              <w:spacing w:after="0"/>
              <w:rPr>
                <w:sz w:val="20"/>
                <w:szCs w:val="20"/>
                <w:color w:val="auto"/>
              </w:rPr>
            </w:pPr>
            <w:r>
              <w:rPr>
                <w:rFonts w:ascii="Arial" w:cs="Arial" w:eastAsia="Arial" w:hAnsi="Arial"/>
                <w:sz w:val="20"/>
                <w:szCs w:val="20"/>
                <w:color w:val="auto"/>
              </w:rPr>
              <w:t>Accrued expenses</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jc w:val="right"/>
              <w:ind w:right="23"/>
              <w:spacing w:after="0"/>
              <w:rPr>
                <w:sz w:val="20"/>
                <w:szCs w:val="20"/>
                <w:color w:val="auto"/>
              </w:rPr>
            </w:pPr>
            <w:r>
              <w:rPr>
                <w:rFonts w:ascii="Arial" w:cs="Arial" w:eastAsia="Arial" w:hAnsi="Arial"/>
                <w:sz w:val="20"/>
                <w:szCs w:val="20"/>
                <w:color w:val="auto"/>
              </w:rPr>
              <w:t>5,096</w:t>
            </w: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jc w:val="right"/>
              <w:ind w:right="2"/>
              <w:spacing w:after="0"/>
              <w:rPr>
                <w:sz w:val="20"/>
                <w:szCs w:val="20"/>
                <w:color w:val="auto"/>
              </w:rPr>
            </w:pPr>
            <w:r>
              <w:rPr>
                <w:rFonts w:ascii="Arial" w:cs="Arial" w:eastAsia="Arial" w:hAnsi="Arial"/>
                <w:sz w:val="20"/>
                <w:szCs w:val="20"/>
                <w:color w:val="auto"/>
              </w:rPr>
              <w:t>3,773</w:t>
            </w:r>
          </w:p>
        </w:tc>
      </w:tr>
      <w:tr>
        <w:trPr>
          <w:trHeight w:val="269"/>
        </w:trPr>
        <w:tc>
          <w:tcPr>
            <w:tcW w:w="6320" w:type="dxa"/>
            <w:vAlign w:val="bottom"/>
            <w:tcBorders>
              <w:bottom w:val="single" w:sz="8" w:color="D4EFF3"/>
            </w:tcBorders>
          </w:tcPr>
          <w:p>
            <w:pPr>
              <w:ind w:left="300"/>
              <w:spacing w:after="0"/>
              <w:rPr>
                <w:sz w:val="20"/>
                <w:szCs w:val="20"/>
                <w:color w:val="auto"/>
              </w:rPr>
            </w:pPr>
            <w:r>
              <w:rPr>
                <w:rFonts w:ascii="Arial" w:cs="Arial" w:eastAsia="Arial" w:hAnsi="Arial"/>
                <w:sz w:val="20"/>
                <w:szCs w:val="20"/>
                <w:color w:val="auto"/>
              </w:rPr>
              <w:t>Operating lease liability</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w:t>
            </w:r>
          </w:p>
        </w:tc>
        <w:tc>
          <w:tcPr>
            <w:tcW w:w="140" w:type="dxa"/>
            <w:vAlign w:val="bottom"/>
            <w:tcBorders>
              <w:bottom w:val="single" w:sz="8" w:color="D4EFF3"/>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(1,217)</w:t>
            </w:r>
          </w:p>
        </w:tc>
      </w:tr>
      <w:tr>
        <w:trPr>
          <w:trHeight w:val="235"/>
        </w:trPr>
        <w:tc>
          <w:tcPr>
            <w:tcW w:w="6320" w:type="dxa"/>
            <w:vAlign w:val="bottom"/>
            <w:tcBorders>
              <w:top w:val="single" w:sz="8" w:color="D4EFF3"/>
              <w:bottom w:val="single" w:sz="8" w:color="D4EFF3"/>
            </w:tcBorders>
            <w:shd w:val="clear" w:color="auto" w:fill="D4EFF3"/>
          </w:tcPr>
          <w:p>
            <w:pPr>
              <w:ind w:left="580"/>
              <w:spacing w:after="0" w:line="215" w:lineRule="exact"/>
              <w:rPr>
                <w:sz w:val="20"/>
                <w:szCs w:val="20"/>
                <w:color w:val="auto"/>
              </w:rPr>
            </w:pPr>
            <w:r>
              <w:rPr>
                <w:rFonts w:ascii="Arial" w:cs="Arial" w:eastAsia="Arial" w:hAnsi="Arial"/>
                <w:sz w:val="20"/>
                <w:szCs w:val="20"/>
                <w:color w:val="auto"/>
              </w:rPr>
              <w:t>Net cash used in operating activities</w:t>
            </w:r>
          </w:p>
        </w:tc>
        <w:tc>
          <w:tcPr>
            <w:tcW w:w="420" w:type="dxa"/>
            <w:vAlign w:val="bottom"/>
            <w:tcBorders>
              <w:top w:val="single" w:sz="8" w:color="auto"/>
              <w:bottom w:val="single" w:sz="8" w:color="auto"/>
            </w:tcBorders>
            <w:shd w:val="clear" w:color="auto" w:fill="D4EFF3"/>
          </w:tcPr>
          <w:p>
            <w:pPr>
              <w:spacing w:after="0"/>
              <w:rPr>
                <w:sz w:val="20"/>
                <w:szCs w:val="20"/>
                <w:color w:val="auto"/>
              </w:rPr>
            </w:pPr>
          </w:p>
        </w:tc>
        <w:tc>
          <w:tcPr>
            <w:tcW w:w="1020" w:type="dxa"/>
            <w:vAlign w:val="bottom"/>
            <w:tcBorders>
              <w:top w:val="single" w:sz="8" w:color="auto"/>
              <w:bottom w:val="single" w:sz="8" w:color="auto"/>
            </w:tcBorders>
            <w:shd w:val="clear" w:color="auto" w:fill="D4EFF3"/>
          </w:tcPr>
          <w:p>
            <w:pPr>
              <w:jc w:val="right"/>
              <w:spacing w:after="0" w:line="215" w:lineRule="exact"/>
              <w:rPr>
                <w:sz w:val="20"/>
                <w:szCs w:val="20"/>
                <w:color w:val="auto"/>
              </w:rPr>
            </w:pPr>
            <w:r>
              <w:rPr>
                <w:rFonts w:ascii="Arial" w:cs="Arial" w:eastAsia="Arial" w:hAnsi="Arial"/>
                <w:sz w:val="20"/>
                <w:szCs w:val="20"/>
                <w:color w:val="auto"/>
              </w:rPr>
              <w:t>(49,143)</w:t>
            </w:r>
          </w:p>
        </w:tc>
        <w:tc>
          <w:tcPr>
            <w:tcW w:w="140" w:type="dxa"/>
            <w:vAlign w:val="bottom"/>
            <w:tcBorders>
              <w:top w:val="single" w:sz="8" w:color="D4EFF3"/>
              <w:bottom w:val="single" w:sz="8" w:color="D4EFF3"/>
            </w:tcBorders>
            <w:shd w:val="clear" w:color="auto" w:fill="D4EFF3"/>
          </w:tcPr>
          <w:p>
            <w:pPr>
              <w:spacing w:after="0"/>
              <w:rPr>
                <w:sz w:val="20"/>
                <w:szCs w:val="20"/>
                <w:color w:val="auto"/>
              </w:rPr>
            </w:pPr>
          </w:p>
        </w:tc>
        <w:tc>
          <w:tcPr>
            <w:tcW w:w="420" w:type="dxa"/>
            <w:vAlign w:val="bottom"/>
            <w:tcBorders>
              <w:top w:val="single" w:sz="8" w:color="D4EFF3"/>
              <w:bottom w:val="single" w:sz="8" w:color="auto"/>
            </w:tcBorders>
            <w:shd w:val="clear" w:color="auto" w:fill="D4EFF3"/>
          </w:tcPr>
          <w:p>
            <w:pPr>
              <w:spacing w:after="0"/>
              <w:rPr>
                <w:sz w:val="20"/>
                <w:szCs w:val="20"/>
                <w:color w:val="auto"/>
              </w:rPr>
            </w:pPr>
          </w:p>
        </w:tc>
        <w:tc>
          <w:tcPr>
            <w:tcW w:w="1000" w:type="dxa"/>
            <w:vAlign w:val="bottom"/>
            <w:tcBorders>
              <w:top w:val="single" w:sz="8" w:color="D4EFF3"/>
              <w:bottom w:val="single" w:sz="8" w:color="auto"/>
            </w:tcBorders>
            <w:shd w:val="clear" w:color="auto" w:fill="D4EFF3"/>
          </w:tcPr>
          <w:p>
            <w:pPr>
              <w:jc w:val="right"/>
              <w:spacing w:after="0" w:line="215" w:lineRule="exact"/>
              <w:rPr>
                <w:sz w:val="20"/>
                <w:szCs w:val="20"/>
                <w:color w:val="auto"/>
              </w:rPr>
            </w:pPr>
            <w:r>
              <w:rPr>
                <w:rFonts w:ascii="Arial" w:cs="Arial" w:eastAsia="Arial" w:hAnsi="Arial"/>
                <w:sz w:val="20"/>
                <w:szCs w:val="20"/>
                <w:color w:val="auto"/>
              </w:rPr>
              <w:t>(44,855)</w:t>
            </w:r>
          </w:p>
        </w:tc>
      </w:tr>
      <w:tr>
        <w:trPr>
          <w:trHeight w:val="215"/>
        </w:trPr>
        <w:tc>
          <w:tcPr>
            <w:tcW w:w="6320" w:type="dxa"/>
            <w:vAlign w:val="bottom"/>
          </w:tcPr>
          <w:p>
            <w:pPr>
              <w:ind w:left="20"/>
              <w:spacing w:after="0" w:line="215" w:lineRule="exact"/>
              <w:rPr>
                <w:sz w:val="20"/>
                <w:szCs w:val="20"/>
                <w:color w:val="auto"/>
              </w:rPr>
            </w:pPr>
            <w:r>
              <w:rPr>
                <w:rFonts w:ascii="Arial" w:cs="Arial" w:eastAsia="Arial" w:hAnsi="Arial"/>
                <w:sz w:val="20"/>
                <w:szCs w:val="20"/>
                <w:b w:val="1"/>
                <w:bCs w:val="1"/>
                <w:color w:val="auto"/>
              </w:rPr>
              <w:t>Cash flows from investing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7"/>
        </w:trPr>
        <w:tc>
          <w:tcPr>
            <w:tcW w:w="6320" w:type="dxa"/>
            <w:vAlign w:val="bottom"/>
            <w:shd w:val="clear" w:color="auto" w:fill="D4EFF3"/>
          </w:tcPr>
          <w:p>
            <w:pPr>
              <w:ind w:left="20"/>
              <w:spacing w:after="0"/>
              <w:rPr>
                <w:sz w:val="20"/>
                <w:szCs w:val="20"/>
                <w:color w:val="auto"/>
              </w:rPr>
            </w:pPr>
            <w:r>
              <w:rPr>
                <w:rFonts w:ascii="Arial" w:cs="Arial" w:eastAsia="Arial" w:hAnsi="Arial"/>
                <w:sz w:val="20"/>
                <w:szCs w:val="20"/>
                <w:color w:val="auto"/>
              </w:rPr>
              <w:t>Purchases of marketable securities</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jc w:val="right"/>
              <w:spacing w:after="0"/>
              <w:rPr>
                <w:sz w:val="20"/>
                <w:szCs w:val="20"/>
                <w:color w:val="auto"/>
              </w:rPr>
            </w:pPr>
            <w:r>
              <w:rPr>
                <w:rFonts w:ascii="Arial" w:cs="Arial" w:eastAsia="Arial" w:hAnsi="Arial"/>
                <w:sz w:val="20"/>
                <w:szCs w:val="20"/>
                <w:color w:val="auto"/>
              </w:rPr>
              <w:t>(194,557)</w:t>
            </w: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jc w:val="right"/>
              <w:spacing w:after="0"/>
              <w:rPr>
                <w:sz w:val="20"/>
                <w:szCs w:val="20"/>
                <w:color w:val="auto"/>
              </w:rPr>
            </w:pPr>
            <w:r>
              <w:rPr>
                <w:rFonts w:ascii="Arial" w:cs="Arial" w:eastAsia="Arial" w:hAnsi="Arial"/>
                <w:sz w:val="20"/>
                <w:szCs w:val="20"/>
                <w:color w:val="auto"/>
              </w:rPr>
              <w:t>(88,158)</w:t>
            </w:r>
          </w:p>
        </w:tc>
      </w:tr>
      <w:tr>
        <w:trPr>
          <w:trHeight w:val="244"/>
        </w:trPr>
        <w:tc>
          <w:tcPr>
            <w:tcW w:w="6320" w:type="dxa"/>
            <w:vAlign w:val="bottom"/>
          </w:tcPr>
          <w:p>
            <w:pPr>
              <w:ind w:left="20"/>
              <w:spacing w:after="0"/>
              <w:rPr>
                <w:sz w:val="20"/>
                <w:szCs w:val="20"/>
                <w:color w:val="auto"/>
              </w:rPr>
            </w:pPr>
            <w:r>
              <w:rPr>
                <w:rFonts w:ascii="Arial" w:cs="Arial" w:eastAsia="Arial" w:hAnsi="Arial"/>
                <w:sz w:val="20"/>
                <w:szCs w:val="20"/>
                <w:color w:val="auto"/>
              </w:rPr>
              <w:t>Proceeds from sale or maturities of marketable securities</w:t>
            </w:r>
          </w:p>
        </w:tc>
        <w:tc>
          <w:tcPr>
            <w:tcW w:w="4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101,276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20"/>
                <w:szCs w:val="20"/>
                <w:color w:val="auto"/>
              </w:rPr>
              <w:t>134,974</w:t>
            </w:r>
          </w:p>
        </w:tc>
      </w:tr>
      <w:tr>
        <w:trPr>
          <w:trHeight w:val="255"/>
        </w:trPr>
        <w:tc>
          <w:tcPr>
            <w:tcW w:w="632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20"/>
                <w:szCs w:val="20"/>
                <w:color w:val="auto"/>
              </w:rPr>
              <w:t>Purchases of property and equipment</w:t>
            </w:r>
          </w:p>
        </w:tc>
        <w:tc>
          <w:tcPr>
            <w:tcW w:w="420" w:type="dxa"/>
            <w:vAlign w:val="bottom"/>
            <w:tcBorders>
              <w:bottom w:val="single" w:sz="8" w:color="auto"/>
            </w:tcBorders>
            <w:shd w:val="clear" w:color="auto" w:fill="D4EFF3"/>
          </w:tcPr>
          <w:p>
            <w:pPr>
              <w:spacing w:after="0"/>
              <w:rPr>
                <w:sz w:val="22"/>
                <w:szCs w:val="22"/>
                <w:color w:val="auto"/>
              </w:rPr>
            </w:pPr>
          </w:p>
        </w:tc>
        <w:tc>
          <w:tcPr>
            <w:tcW w:w="102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(25)</w:t>
            </w:r>
          </w:p>
        </w:tc>
        <w:tc>
          <w:tcPr>
            <w:tcW w:w="140" w:type="dxa"/>
            <w:vAlign w:val="bottom"/>
            <w:tcBorders>
              <w:bottom w:val="single" w:sz="8" w:color="D4EFF3"/>
            </w:tcBorders>
            <w:shd w:val="clear" w:color="auto" w:fill="D4EFF3"/>
          </w:tcPr>
          <w:p>
            <w:pPr>
              <w:spacing w:after="0"/>
              <w:rPr>
                <w:sz w:val="22"/>
                <w:szCs w:val="22"/>
                <w:color w:val="auto"/>
              </w:rPr>
            </w:pPr>
          </w:p>
        </w:tc>
        <w:tc>
          <w:tcPr>
            <w:tcW w:w="420" w:type="dxa"/>
            <w:vAlign w:val="bottom"/>
            <w:tcBorders>
              <w:bottom w:val="single" w:sz="8" w:color="auto"/>
            </w:tcBorders>
            <w:shd w:val="clear" w:color="auto" w:fill="D4EFF3"/>
          </w:tcPr>
          <w:p>
            <w:pPr>
              <w:spacing w:after="0"/>
              <w:rPr>
                <w:sz w:val="22"/>
                <w:szCs w:val="22"/>
                <w:color w:val="auto"/>
              </w:rPr>
            </w:pPr>
          </w:p>
        </w:tc>
        <w:tc>
          <w:tcPr>
            <w:tcW w:w="10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(44)</w:t>
            </w:r>
          </w:p>
        </w:tc>
      </w:tr>
      <w:tr>
        <w:trPr>
          <w:trHeight w:val="235"/>
        </w:trPr>
        <w:tc>
          <w:tcPr>
            <w:tcW w:w="6320" w:type="dxa"/>
            <w:vAlign w:val="bottom"/>
            <w:tcBorders>
              <w:bottom w:val="single" w:sz="8" w:color="D4EFF3"/>
            </w:tcBorders>
          </w:tcPr>
          <w:p>
            <w:pPr>
              <w:ind w:left="580"/>
              <w:spacing w:after="0"/>
              <w:rPr>
                <w:sz w:val="20"/>
                <w:szCs w:val="20"/>
                <w:color w:val="auto"/>
              </w:rPr>
            </w:pPr>
            <w:r>
              <w:rPr>
                <w:rFonts w:ascii="Arial" w:cs="Arial" w:eastAsia="Arial" w:hAnsi="Arial"/>
                <w:sz w:val="20"/>
                <w:szCs w:val="20"/>
                <w:color w:val="auto"/>
              </w:rPr>
              <w:t>Net cash (used in) provided by in investing activities</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(93,306)</w:t>
            </w:r>
          </w:p>
        </w:tc>
        <w:tc>
          <w:tcPr>
            <w:tcW w:w="140" w:type="dxa"/>
            <w:vAlign w:val="bottom"/>
            <w:tcBorders>
              <w:bottom w:val="single" w:sz="8" w:color="D4EFF3"/>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46,772</w:t>
            </w:r>
          </w:p>
        </w:tc>
      </w:tr>
      <w:tr>
        <w:trPr>
          <w:trHeight w:val="247"/>
        </w:trPr>
        <w:tc>
          <w:tcPr>
            <w:tcW w:w="6320" w:type="dxa"/>
            <w:vAlign w:val="bottom"/>
            <w:shd w:val="clear" w:color="auto" w:fill="D4EFF3"/>
          </w:tcPr>
          <w:p>
            <w:pPr>
              <w:ind w:left="20"/>
              <w:spacing w:after="0"/>
              <w:rPr>
                <w:sz w:val="20"/>
                <w:szCs w:val="20"/>
                <w:color w:val="auto"/>
              </w:rPr>
            </w:pPr>
            <w:r>
              <w:rPr>
                <w:rFonts w:ascii="Arial" w:cs="Arial" w:eastAsia="Arial" w:hAnsi="Arial"/>
                <w:sz w:val="20"/>
                <w:szCs w:val="20"/>
                <w:b w:val="1"/>
                <w:bCs w:val="1"/>
                <w:color w:val="auto"/>
              </w:rPr>
              <w:t>Cash flows from financing activities:</w:t>
            </w:r>
          </w:p>
        </w:tc>
        <w:tc>
          <w:tcPr>
            <w:tcW w:w="420" w:type="dxa"/>
            <w:vAlign w:val="bottom"/>
            <w:shd w:val="clear" w:color="auto" w:fill="D4EFF3"/>
          </w:tcPr>
          <w:p>
            <w:pPr>
              <w:spacing w:after="0"/>
              <w:rPr>
                <w:sz w:val="21"/>
                <w:szCs w:val="21"/>
                <w:color w:val="auto"/>
              </w:rPr>
            </w:pPr>
          </w:p>
        </w:tc>
        <w:tc>
          <w:tcPr>
            <w:tcW w:w="1020" w:type="dxa"/>
            <w:vAlign w:val="bottom"/>
            <w:shd w:val="clear" w:color="auto" w:fill="D4EFF3"/>
          </w:tcPr>
          <w:p>
            <w:pPr>
              <w:spacing w:after="0"/>
              <w:rPr>
                <w:sz w:val="21"/>
                <w:szCs w:val="21"/>
                <w:color w:val="auto"/>
              </w:rPr>
            </w:pPr>
          </w:p>
        </w:tc>
        <w:tc>
          <w:tcPr>
            <w:tcW w:w="140" w:type="dxa"/>
            <w:vAlign w:val="bottom"/>
            <w:shd w:val="clear" w:color="auto" w:fill="D4EFF3"/>
          </w:tcPr>
          <w:p>
            <w:pPr>
              <w:spacing w:after="0"/>
              <w:rPr>
                <w:sz w:val="21"/>
                <w:szCs w:val="21"/>
                <w:color w:val="auto"/>
              </w:rPr>
            </w:pPr>
          </w:p>
        </w:tc>
        <w:tc>
          <w:tcPr>
            <w:tcW w:w="420" w:type="dxa"/>
            <w:vAlign w:val="bottom"/>
            <w:shd w:val="clear" w:color="auto" w:fill="D4EFF3"/>
          </w:tcPr>
          <w:p>
            <w:pPr>
              <w:spacing w:after="0"/>
              <w:rPr>
                <w:sz w:val="21"/>
                <w:szCs w:val="21"/>
                <w:color w:val="auto"/>
              </w:rPr>
            </w:pPr>
          </w:p>
        </w:tc>
        <w:tc>
          <w:tcPr>
            <w:tcW w:w="1000" w:type="dxa"/>
            <w:vAlign w:val="bottom"/>
            <w:shd w:val="clear" w:color="auto" w:fill="D4EFF3"/>
          </w:tcPr>
          <w:p>
            <w:pPr>
              <w:spacing w:after="0"/>
              <w:rPr>
                <w:sz w:val="21"/>
                <w:szCs w:val="21"/>
                <w:color w:val="auto"/>
              </w:rPr>
            </w:pPr>
          </w:p>
        </w:tc>
      </w:tr>
      <w:tr>
        <w:trPr>
          <w:trHeight w:val="244"/>
        </w:trPr>
        <w:tc>
          <w:tcPr>
            <w:tcW w:w="6320" w:type="dxa"/>
            <w:vAlign w:val="bottom"/>
          </w:tcPr>
          <w:p>
            <w:pPr>
              <w:ind w:left="20"/>
              <w:spacing w:after="0"/>
              <w:rPr>
                <w:sz w:val="20"/>
                <w:szCs w:val="20"/>
                <w:color w:val="auto"/>
              </w:rPr>
            </w:pPr>
            <w:r>
              <w:rPr>
                <w:rFonts w:ascii="Arial" w:cs="Arial" w:eastAsia="Arial" w:hAnsi="Arial"/>
                <w:sz w:val="20"/>
                <w:szCs w:val="20"/>
                <w:color w:val="auto"/>
              </w:rPr>
              <w:t>Proceeds from issuance of common stock</w:t>
            </w:r>
          </w:p>
        </w:tc>
        <w:tc>
          <w:tcPr>
            <w:tcW w:w="4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137,999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20"/>
                <w:szCs w:val="20"/>
                <w:color w:val="auto"/>
              </w:rPr>
              <w:t>18,113</w:t>
            </w:r>
          </w:p>
        </w:tc>
      </w:tr>
      <w:tr>
        <w:trPr>
          <w:trHeight w:val="267"/>
        </w:trPr>
        <w:tc>
          <w:tcPr>
            <w:tcW w:w="6320" w:type="dxa"/>
            <w:vAlign w:val="bottom"/>
            <w:shd w:val="clear" w:color="auto" w:fill="D4EFF3"/>
          </w:tcPr>
          <w:p>
            <w:pPr>
              <w:ind w:left="20"/>
              <w:spacing w:after="0"/>
              <w:rPr>
                <w:sz w:val="20"/>
                <w:szCs w:val="20"/>
                <w:color w:val="auto"/>
              </w:rPr>
            </w:pPr>
            <w:r>
              <w:rPr>
                <w:rFonts w:ascii="Arial" w:cs="Arial" w:eastAsia="Arial" w:hAnsi="Arial"/>
                <w:sz w:val="20"/>
                <w:szCs w:val="20"/>
                <w:color w:val="auto"/>
              </w:rPr>
              <w:t>Issuance costs from issuance of common stock</w:t>
            </w:r>
          </w:p>
        </w:tc>
        <w:tc>
          <w:tcPr>
            <w:tcW w:w="420" w:type="dxa"/>
            <w:vAlign w:val="bottom"/>
            <w:shd w:val="clear" w:color="auto" w:fill="D4EFF3"/>
          </w:tcPr>
          <w:p>
            <w:pPr>
              <w:spacing w:after="0"/>
              <w:rPr>
                <w:sz w:val="23"/>
                <w:szCs w:val="23"/>
                <w:color w:val="auto"/>
              </w:rPr>
            </w:pPr>
          </w:p>
        </w:tc>
        <w:tc>
          <w:tcPr>
            <w:tcW w:w="1020" w:type="dxa"/>
            <w:vAlign w:val="bottom"/>
            <w:shd w:val="clear" w:color="auto" w:fill="D4EFF3"/>
          </w:tcPr>
          <w:p>
            <w:pPr>
              <w:jc w:val="right"/>
              <w:spacing w:after="0"/>
              <w:rPr>
                <w:sz w:val="20"/>
                <w:szCs w:val="20"/>
                <w:color w:val="auto"/>
              </w:rPr>
            </w:pPr>
            <w:r>
              <w:rPr>
                <w:rFonts w:ascii="Arial" w:cs="Arial" w:eastAsia="Arial" w:hAnsi="Arial"/>
                <w:sz w:val="20"/>
                <w:szCs w:val="20"/>
                <w:color w:val="auto"/>
              </w:rPr>
              <w:t>(8,638)</w:t>
            </w:r>
          </w:p>
        </w:tc>
        <w:tc>
          <w:tcPr>
            <w:tcW w:w="140" w:type="dxa"/>
            <w:vAlign w:val="bottom"/>
            <w:shd w:val="clear" w:color="auto" w:fill="D4EFF3"/>
          </w:tcPr>
          <w:p>
            <w:pPr>
              <w:spacing w:after="0"/>
              <w:rPr>
                <w:sz w:val="23"/>
                <w:szCs w:val="23"/>
                <w:color w:val="auto"/>
              </w:rPr>
            </w:pPr>
          </w:p>
        </w:tc>
        <w:tc>
          <w:tcPr>
            <w:tcW w:w="420" w:type="dxa"/>
            <w:vAlign w:val="bottom"/>
            <w:shd w:val="clear" w:color="auto" w:fill="D4EFF3"/>
          </w:tcPr>
          <w:p>
            <w:pPr>
              <w:spacing w:after="0"/>
              <w:rPr>
                <w:sz w:val="23"/>
                <w:szCs w:val="23"/>
                <w:color w:val="auto"/>
              </w:rPr>
            </w:pPr>
          </w:p>
        </w:tc>
        <w:tc>
          <w:tcPr>
            <w:tcW w:w="1000" w:type="dxa"/>
            <w:vAlign w:val="bottom"/>
            <w:shd w:val="clear" w:color="auto" w:fill="D4EFF3"/>
          </w:tcPr>
          <w:p>
            <w:pPr>
              <w:jc w:val="right"/>
              <w:spacing w:after="0"/>
              <w:rPr>
                <w:sz w:val="20"/>
                <w:szCs w:val="20"/>
                <w:color w:val="auto"/>
              </w:rPr>
            </w:pPr>
            <w:r>
              <w:rPr>
                <w:rFonts w:ascii="Arial" w:cs="Arial" w:eastAsia="Arial" w:hAnsi="Arial"/>
                <w:sz w:val="20"/>
                <w:szCs w:val="20"/>
                <w:color w:val="auto"/>
              </w:rPr>
              <w:t>(543)</w:t>
            </w:r>
          </w:p>
        </w:tc>
      </w:tr>
      <w:tr>
        <w:trPr>
          <w:trHeight w:val="244"/>
        </w:trPr>
        <w:tc>
          <w:tcPr>
            <w:tcW w:w="6320" w:type="dxa"/>
            <w:vAlign w:val="bottom"/>
          </w:tcPr>
          <w:p>
            <w:pPr>
              <w:ind w:left="20"/>
              <w:spacing w:after="0"/>
              <w:rPr>
                <w:sz w:val="20"/>
                <w:szCs w:val="20"/>
                <w:color w:val="auto"/>
              </w:rPr>
            </w:pPr>
            <w:r>
              <w:rPr>
                <w:rFonts w:ascii="Arial" w:cs="Arial" w:eastAsia="Arial" w:hAnsi="Arial"/>
                <w:sz w:val="20"/>
                <w:szCs w:val="20"/>
                <w:color w:val="auto"/>
              </w:rPr>
              <w:t>Proceeds from exercise of stock options</w:t>
            </w:r>
          </w:p>
        </w:tc>
        <w:tc>
          <w:tcPr>
            <w:tcW w:w="4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1,275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255"/>
        </w:trPr>
        <w:tc>
          <w:tcPr>
            <w:tcW w:w="632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20"/>
                <w:szCs w:val="20"/>
                <w:color w:val="auto"/>
              </w:rPr>
              <w:t>Taxes paid related to net shares settlement of RSUs</w:t>
            </w:r>
          </w:p>
        </w:tc>
        <w:tc>
          <w:tcPr>
            <w:tcW w:w="420" w:type="dxa"/>
            <w:vAlign w:val="bottom"/>
            <w:tcBorders>
              <w:bottom w:val="single" w:sz="8" w:color="auto"/>
            </w:tcBorders>
            <w:shd w:val="clear" w:color="auto" w:fill="D4EFF3"/>
          </w:tcPr>
          <w:p>
            <w:pPr>
              <w:spacing w:after="0"/>
              <w:rPr>
                <w:sz w:val="22"/>
                <w:szCs w:val="22"/>
                <w:color w:val="auto"/>
              </w:rPr>
            </w:pPr>
          </w:p>
        </w:tc>
        <w:tc>
          <w:tcPr>
            <w:tcW w:w="102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(1,027)</w:t>
            </w:r>
          </w:p>
        </w:tc>
        <w:tc>
          <w:tcPr>
            <w:tcW w:w="140" w:type="dxa"/>
            <w:vAlign w:val="bottom"/>
            <w:tcBorders>
              <w:bottom w:val="single" w:sz="8" w:color="D4EFF3"/>
            </w:tcBorders>
            <w:shd w:val="clear" w:color="auto" w:fill="D4EFF3"/>
          </w:tcPr>
          <w:p>
            <w:pPr>
              <w:spacing w:after="0"/>
              <w:rPr>
                <w:sz w:val="22"/>
                <w:szCs w:val="22"/>
                <w:color w:val="auto"/>
              </w:rPr>
            </w:pPr>
          </w:p>
        </w:tc>
        <w:tc>
          <w:tcPr>
            <w:tcW w:w="420" w:type="dxa"/>
            <w:vAlign w:val="bottom"/>
            <w:tcBorders>
              <w:bottom w:val="single" w:sz="8" w:color="auto"/>
            </w:tcBorders>
            <w:shd w:val="clear" w:color="auto" w:fill="D4EFF3"/>
          </w:tcPr>
          <w:p>
            <w:pPr>
              <w:spacing w:after="0"/>
              <w:rPr>
                <w:sz w:val="22"/>
                <w:szCs w:val="22"/>
                <w:color w:val="auto"/>
              </w:rPr>
            </w:pPr>
          </w:p>
        </w:tc>
        <w:tc>
          <w:tcPr>
            <w:tcW w:w="10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(232)</w:t>
            </w:r>
          </w:p>
        </w:tc>
      </w:tr>
      <w:tr>
        <w:trPr>
          <w:trHeight w:val="260"/>
        </w:trPr>
        <w:tc>
          <w:tcPr>
            <w:tcW w:w="6320" w:type="dxa"/>
            <w:vAlign w:val="bottom"/>
            <w:tcBorders>
              <w:bottom w:val="single" w:sz="8" w:color="D4EFF3"/>
            </w:tcBorders>
          </w:tcPr>
          <w:p>
            <w:pPr>
              <w:ind w:left="580"/>
              <w:spacing w:after="0"/>
              <w:rPr>
                <w:sz w:val="20"/>
                <w:szCs w:val="20"/>
                <w:color w:val="auto"/>
              </w:rPr>
            </w:pPr>
            <w:r>
              <w:rPr>
                <w:rFonts w:ascii="Arial" w:cs="Arial" w:eastAsia="Arial" w:hAnsi="Arial"/>
                <w:sz w:val="20"/>
                <w:szCs w:val="20"/>
                <w:color w:val="auto"/>
              </w:rPr>
              <w:t>Net cash provided by financing activities</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129,609</w:t>
            </w:r>
          </w:p>
        </w:tc>
        <w:tc>
          <w:tcPr>
            <w:tcW w:w="140" w:type="dxa"/>
            <w:vAlign w:val="bottom"/>
            <w:tcBorders>
              <w:bottom w:val="single" w:sz="8" w:color="D4EFF3"/>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17,338</w:t>
            </w:r>
          </w:p>
        </w:tc>
      </w:tr>
      <w:tr>
        <w:trPr>
          <w:trHeight w:val="227"/>
        </w:trPr>
        <w:tc>
          <w:tcPr>
            <w:tcW w:w="6320" w:type="dxa"/>
            <w:vAlign w:val="bottom"/>
            <w:tcBorders>
              <w:top w:val="single" w:sz="8" w:color="D4EFF3"/>
            </w:tcBorders>
            <w:shd w:val="clear" w:color="auto" w:fill="D4EFF3"/>
          </w:tcPr>
          <w:p>
            <w:pPr>
              <w:ind w:left="20"/>
              <w:spacing w:after="0" w:line="227" w:lineRule="exact"/>
              <w:rPr>
                <w:sz w:val="20"/>
                <w:szCs w:val="20"/>
                <w:color w:val="auto"/>
              </w:rPr>
            </w:pPr>
            <w:r>
              <w:rPr>
                <w:rFonts w:ascii="Arial" w:cs="Arial" w:eastAsia="Arial" w:hAnsi="Arial"/>
                <w:sz w:val="20"/>
                <w:szCs w:val="20"/>
                <w:b w:val="1"/>
                <w:bCs w:val="1"/>
                <w:color w:val="auto"/>
              </w:rPr>
              <w:t>Net change in cash, cash equivalents and restricted cash</w:t>
            </w:r>
          </w:p>
        </w:tc>
        <w:tc>
          <w:tcPr>
            <w:tcW w:w="420" w:type="dxa"/>
            <w:vAlign w:val="bottom"/>
            <w:tcBorders>
              <w:top w:val="single" w:sz="8" w:color="auto"/>
            </w:tcBorders>
            <w:shd w:val="clear" w:color="auto" w:fill="D4EFF3"/>
          </w:tcPr>
          <w:p>
            <w:pPr>
              <w:spacing w:after="0"/>
              <w:rPr>
                <w:sz w:val="19"/>
                <w:szCs w:val="19"/>
                <w:color w:val="auto"/>
              </w:rPr>
            </w:pPr>
          </w:p>
        </w:tc>
        <w:tc>
          <w:tcPr>
            <w:tcW w:w="1020" w:type="dxa"/>
            <w:vAlign w:val="bottom"/>
            <w:tcBorders>
              <w:top w:val="single" w:sz="8" w:color="auto"/>
            </w:tcBorders>
            <w:shd w:val="clear" w:color="auto" w:fill="D4EFF3"/>
          </w:tcPr>
          <w:p>
            <w:pPr>
              <w:jc w:val="right"/>
              <w:spacing w:after="0" w:line="227" w:lineRule="exact"/>
              <w:rPr>
                <w:sz w:val="20"/>
                <w:szCs w:val="20"/>
                <w:color w:val="auto"/>
              </w:rPr>
            </w:pPr>
            <w:r>
              <w:rPr>
                <w:rFonts w:ascii="Arial" w:cs="Arial" w:eastAsia="Arial" w:hAnsi="Arial"/>
                <w:sz w:val="20"/>
                <w:szCs w:val="20"/>
                <w:color w:val="auto"/>
              </w:rPr>
              <w:t>(12,840)</w:t>
            </w:r>
          </w:p>
        </w:tc>
        <w:tc>
          <w:tcPr>
            <w:tcW w:w="140" w:type="dxa"/>
            <w:vAlign w:val="bottom"/>
            <w:tcBorders>
              <w:top w:val="single" w:sz="8" w:color="D4EFF3"/>
            </w:tcBorders>
            <w:shd w:val="clear" w:color="auto" w:fill="D4EFF3"/>
          </w:tcPr>
          <w:p>
            <w:pPr>
              <w:spacing w:after="0"/>
              <w:rPr>
                <w:sz w:val="19"/>
                <w:szCs w:val="19"/>
                <w:color w:val="auto"/>
              </w:rPr>
            </w:pPr>
          </w:p>
        </w:tc>
        <w:tc>
          <w:tcPr>
            <w:tcW w:w="420" w:type="dxa"/>
            <w:vAlign w:val="bottom"/>
            <w:tcBorders>
              <w:top w:val="single" w:sz="8" w:color="D4EFF3"/>
            </w:tcBorders>
            <w:shd w:val="clear" w:color="auto" w:fill="D4EFF3"/>
          </w:tcPr>
          <w:p>
            <w:pPr>
              <w:spacing w:after="0"/>
              <w:rPr>
                <w:sz w:val="19"/>
                <w:szCs w:val="19"/>
                <w:color w:val="auto"/>
              </w:rPr>
            </w:pPr>
          </w:p>
        </w:tc>
        <w:tc>
          <w:tcPr>
            <w:tcW w:w="1000" w:type="dxa"/>
            <w:vAlign w:val="bottom"/>
            <w:tcBorders>
              <w:top w:val="single" w:sz="8" w:color="D4EFF3"/>
            </w:tcBorders>
            <w:shd w:val="clear" w:color="auto" w:fill="D4EFF3"/>
          </w:tcPr>
          <w:p>
            <w:pPr>
              <w:jc w:val="right"/>
              <w:ind w:right="2"/>
              <w:spacing w:after="0" w:line="227" w:lineRule="exact"/>
              <w:rPr>
                <w:sz w:val="20"/>
                <w:szCs w:val="20"/>
                <w:color w:val="auto"/>
              </w:rPr>
            </w:pPr>
            <w:r>
              <w:rPr>
                <w:rFonts w:ascii="Arial" w:cs="Arial" w:eastAsia="Arial" w:hAnsi="Arial"/>
                <w:sz w:val="20"/>
                <w:szCs w:val="20"/>
                <w:color w:val="auto"/>
              </w:rPr>
              <w:t>19,255</w:t>
            </w:r>
          </w:p>
        </w:tc>
      </w:tr>
      <w:tr>
        <w:trPr>
          <w:trHeight w:val="269"/>
        </w:trPr>
        <w:tc>
          <w:tcPr>
            <w:tcW w:w="6320" w:type="dxa"/>
            <w:vAlign w:val="bottom"/>
            <w:tcBorders>
              <w:bottom w:val="single" w:sz="8" w:color="D4EFF3"/>
            </w:tcBorders>
          </w:tcPr>
          <w:p>
            <w:pPr>
              <w:ind w:left="20"/>
              <w:spacing w:after="0"/>
              <w:rPr>
                <w:sz w:val="20"/>
                <w:szCs w:val="20"/>
                <w:color w:val="auto"/>
              </w:rPr>
            </w:pPr>
            <w:r>
              <w:rPr>
                <w:rFonts w:ascii="Arial" w:cs="Arial" w:eastAsia="Arial" w:hAnsi="Arial"/>
                <w:sz w:val="20"/>
                <w:szCs w:val="20"/>
                <w:color w:val="auto"/>
              </w:rPr>
              <w:t>Cash, cash equivalents and restricted cash at beginning of year</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44,051</w:t>
            </w:r>
          </w:p>
        </w:tc>
        <w:tc>
          <w:tcPr>
            <w:tcW w:w="140" w:type="dxa"/>
            <w:vAlign w:val="bottom"/>
            <w:tcBorders>
              <w:bottom w:val="single" w:sz="8" w:color="D4EFF3"/>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24,228</w:t>
            </w:r>
          </w:p>
        </w:tc>
      </w:tr>
      <w:tr>
        <w:trPr>
          <w:trHeight w:val="295"/>
        </w:trPr>
        <w:tc>
          <w:tcPr>
            <w:tcW w:w="6320" w:type="dxa"/>
            <w:vAlign w:val="bottom"/>
            <w:tcBorders>
              <w:top w:val="single" w:sz="8" w:color="D4EFF3"/>
              <w:bottom w:val="single" w:sz="8" w:color="D4EFF3"/>
            </w:tcBorders>
            <w:shd w:val="clear" w:color="auto" w:fill="D4EFF3"/>
          </w:tcPr>
          <w:p>
            <w:pPr>
              <w:ind w:left="20"/>
              <w:spacing w:after="0" w:line="215" w:lineRule="exact"/>
              <w:rPr>
                <w:sz w:val="20"/>
                <w:szCs w:val="20"/>
                <w:color w:val="auto"/>
              </w:rPr>
            </w:pPr>
            <w:r>
              <w:rPr>
                <w:rFonts w:ascii="Arial" w:cs="Arial" w:eastAsia="Arial" w:hAnsi="Arial"/>
                <w:sz w:val="20"/>
                <w:szCs w:val="20"/>
                <w:color w:val="auto"/>
              </w:rPr>
              <w:t>Cash, cash equivalents and restriced cash at end of year</w:t>
            </w:r>
          </w:p>
        </w:tc>
        <w:tc>
          <w:tcPr>
            <w:tcW w:w="420" w:type="dxa"/>
            <w:vAlign w:val="bottom"/>
            <w:tcBorders>
              <w:top w:val="single" w:sz="8" w:color="auto"/>
              <w:bottom w:val="single" w:sz="8" w:color="auto"/>
            </w:tcBorders>
            <w:shd w:val="clear" w:color="auto" w:fill="D4EFF3"/>
          </w:tcPr>
          <w:p>
            <w:pPr>
              <w:jc w:val="right"/>
              <w:ind w:right="41"/>
              <w:spacing w:after="0" w:line="215"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shd w:val="clear" w:color="auto" w:fill="D4EFF3"/>
          </w:tcPr>
          <w:p>
            <w:pPr>
              <w:jc w:val="right"/>
              <w:ind w:right="23"/>
              <w:spacing w:after="0" w:line="215" w:lineRule="exact"/>
              <w:rPr>
                <w:sz w:val="20"/>
                <w:szCs w:val="20"/>
                <w:color w:val="auto"/>
              </w:rPr>
            </w:pPr>
            <w:r>
              <w:rPr>
                <w:rFonts w:ascii="Arial" w:cs="Arial" w:eastAsia="Arial" w:hAnsi="Arial"/>
                <w:sz w:val="20"/>
                <w:szCs w:val="20"/>
                <w:color w:val="auto"/>
              </w:rPr>
              <w:t>31,211</w:t>
            </w:r>
          </w:p>
        </w:tc>
        <w:tc>
          <w:tcPr>
            <w:tcW w:w="140" w:type="dxa"/>
            <w:vAlign w:val="bottom"/>
            <w:tcBorders>
              <w:top w:val="single" w:sz="8" w:color="D4EFF3"/>
              <w:bottom w:val="single" w:sz="8" w:color="D4EFF3"/>
            </w:tcBorders>
            <w:shd w:val="clear" w:color="auto" w:fill="D4EFF3"/>
          </w:tcPr>
          <w:p>
            <w:pPr>
              <w:spacing w:after="0"/>
              <w:rPr>
                <w:sz w:val="24"/>
                <w:szCs w:val="24"/>
                <w:color w:val="auto"/>
              </w:rPr>
            </w:pPr>
          </w:p>
        </w:tc>
        <w:tc>
          <w:tcPr>
            <w:tcW w:w="420" w:type="dxa"/>
            <w:vAlign w:val="bottom"/>
            <w:tcBorders>
              <w:top w:val="single" w:sz="8" w:color="D4EFF3"/>
              <w:bottom w:val="single" w:sz="8" w:color="auto"/>
            </w:tcBorders>
            <w:shd w:val="clear" w:color="auto" w:fill="D4EFF3"/>
          </w:tcPr>
          <w:p>
            <w:pPr>
              <w:jc w:val="right"/>
              <w:ind w:right="41"/>
              <w:spacing w:after="0" w:line="215"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D4EFF3"/>
              <w:bottom w:val="single" w:sz="8" w:color="auto"/>
            </w:tcBorders>
            <w:shd w:val="clear" w:color="auto" w:fill="D4EFF3"/>
          </w:tcPr>
          <w:p>
            <w:pPr>
              <w:jc w:val="right"/>
              <w:ind w:right="2"/>
              <w:spacing w:after="0" w:line="215" w:lineRule="exact"/>
              <w:rPr>
                <w:sz w:val="20"/>
                <w:szCs w:val="20"/>
                <w:color w:val="auto"/>
              </w:rPr>
            </w:pPr>
            <w:r>
              <w:rPr>
                <w:rFonts w:ascii="Arial" w:cs="Arial" w:eastAsia="Arial" w:hAnsi="Arial"/>
                <w:sz w:val="20"/>
                <w:szCs w:val="20"/>
                <w:color w:val="auto"/>
              </w:rPr>
              <w:t>44,051</w:t>
            </w:r>
          </w:p>
        </w:tc>
      </w:tr>
      <w:tr>
        <w:trPr>
          <w:trHeight w:val="171"/>
        </w:trPr>
        <w:tc>
          <w:tcPr>
            <w:tcW w:w="6320" w:type="dxa"/>
            <w:vAlign w:val="bottom"/>
          </w:tcPr>
          <w:p>
            <w:pPr>
              <w:ind w:left="20"/>
              <w:spacing w:after="0" w:line="171" w:lineRule="exact"/>
              <w:rPr>
                <w:sz w:val="20"/>
                <w:szCs w:val="20"/>
                <w:color w:val="auto"/>
              </w:rPr>
            </w:pPr>
            <w:r>
              <w:rPr>
                <w:rFonts w:ascii="Arial" w:cs="Arial" w:eastAsia="Arial" w:hAnsi="Arial"/>
                <w:sz w:val="19"/>
                <w:szCs w:val="19"/>
                <w:color w:val="auto"/>
              </w:rPr>
              <w:t>Reconciliation of cash, cash equivalents and restricted cash to the</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20"/>
                <w:szCs w:val="20"/>
                <w:color w:val="auto"/>
              </w:rPr>
              <w:t>Condensed Consolidated Balance Sheets</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7"/>
        </w:trPr>
        <w:tc>
          <w:tcPr>
            <w:tcW w:w="6320" w:type="dxa"/>
            <w:vAlign w:val="bottom"/>
            <w:shd w:val="clear" w:color="auto" w:fill="D4EFF3"/>
          </w:tcPr>
          <w:p>
            <w:pPr>
              <w:ind w:left="160"/>
              <w:spacing w:after="0"/>
              <w:rPr>
                <w:sz w:val="20"/>
                <w:szCs w:val="20"/>
                <w:color w:val="auto"/>
              </w:rPr>
            </w:pPr>
            <w:r>
              <w:rPr>
                <w:rFonts w:ascii="Arial" w:cs="Arial" w:eastAsia="Arial" w:hAnsi="Arial"/>
                <w:sz w:val="20"/>
                <w:szCs w:val="20"/>
                <w:color w:val="auto"/>
              </w:rPr>
              <w:t>Cash and cash equivalents</w:t>
            </w:r>
          </w:p>
        </w:tc>
        <w:tc>
          <w:tcPr>
            <w:tcW w:w="420" w:type="dxa"/>
            <w:vAlign w:val="bottom"/>
            <w:shd w:val="clear" w:color="auto" w:fill="D4EFF3"/>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D4EFF3"/>
          </w:tcPr>
          <w:p>
            <w:pPr>
              <w:jc w:val="right"/>
              <w:ind w:right="23"/>
              <w:spacing w:after="0"/>
              <w:rPr>
                <w:sz w:val="20"/>
                <w:szCs w:val="20"/>
                <w:color w:val="auto"/>
              </w:rPr>
            </w:pPr>
            <w:r>
              <w:rPr>
                <w:rFonts w:ascii="Arial" w:cs="Arial" w:eastAsia="Arial" w:hAnsi="Arial"/>
                <w:sz w:val="20"/>
                <w:szCs w:val="20"/>
                <w:color w:val="auto"/>
              </w:rPr>
              <w:t>30,643</w:t>
            </w:r>
          </w:p>
        </w:tc>
        <w:tc>
          <w:tcPr>
            <w:tcW w:w="560" w:type="dxa"/>
            <w:vAlign w:val="bottom"/>
            <w:gridSpan w:val="2"/>
            <w:shd w:val="clear" w:color="auto" w:fill="D4EFF3"/>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D4EFF3"/>
          </w:tcPr>
          <w:p>
            <w:pPr>
              <w:jc w:val="right"/>
              <w:ind w:right="2"/>
              <w:spacing w:after="0"/>
              <w:rPr>
                <w:sz w:val="20"/>
                <w:szCs w:val="20"/>
                <w:color w:val="auto"/>
              </w:rPr>
            </w:pPr>
            <w:r>
              <w:rPr>
                <w:rFonts w:ascii="Arial" w:cs="Arial" w:eastAsia="Arial" w:hAnsi="Arial"/>
                <w:sz w:val="20"/>
                <w:szCs w:val="20"/>
                <w:color w:val="auto"/>
              </w:rPr>
              <w:t>43,483</w:t>
            </w:r>
          </w:p>
        </w:tc>
      </w:tr>
      <w:tr>
        <w:trPr>
          <w:trHeight w:val="269"/>
        </w:trPr>
        <w:tc>
          <w:tcPr>
            <w:tcW w:w="6320" w:type="dxa"/>
            <w:vAlign w:val="bottom"/>
            <w:tcBorders>
              <w:bottom w:val="single" w:sz="8" w:color="D4EFF3"/>
            </w:tcBorders>
          </w:tcPr>
          <w:p>
            <w:pPr>
              <w:ind w:left="160"/>
              <w:spacing w:after="0"/>
              <w:rPr>
                <w:sz w:val="20"/>
                <w:szCs w:val="20"/>
                <w:color w:val="auto"/>
              </w:rPr>
            </w:pPr>
            <w:r>
              <w:rPr>
                <w:rFonts w:ascii="Arial" w:cs="Arial" w:eastAsia="Arial" w:hAnsi="Arial"/>
                <w:sz w:val="20"/>
                <w:szCs w:val="20"/>
                <w:color w:val="auto"/>
              </w:rPr>
              <w:t>Restricted cash</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568</w:t>
            </w:r>
          </w:p>
        </w:tc>
        <w:tc>
          <w:tcPr>
            <w:tcW w:w="140" w:type="dxa"/>
            <w:vAlign w:val="bottom"/>
            <w:tcBorders>
              <w:bottom w:val="single" w:sz="8" w:color="D4EFF3"/>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568</w:t>
            </w:r>
          </w:p>
        </w:tc>
      </w:tr>
      <w:tr>
        <w:trPr>
          <w:trHeight w:val="275"/>
        </w:trPr>
        <w:tc>
          <w:tcPr>
            <w:tcW w:w="6320" w:type="dxa"/>
            <w:vAlign w:val="bottom"/>
            <w:tcBorders>
              <w:top w:val="single" w:sz="8" w:color="D4EFF3"/>
              <w:bottom w:val="single" w:sz="8" w:color="D4EFF3"/>
            </w:tcBorders>
            <w:shd w:val="clear" w:color="auto" w:fill="D4EFF3"/>
          </w:tcPr>
          <w:p>
            <w:pPr>
              <w:ind w:left="20"/>
              <w:spacing w:after="0" w:line="215" w:lineRule="exact"/>
              <w:rPr>
                <w:sz w:val="20"/>
                <w:szCs w:val="20"/>
                <w:color w:val="auto"/>
              </w:rPr>
            </w:pPr>
            <w:r>
              <w:rPr>
                <w:rFonts w:ascii="Arial" w:cs="Arial" w:eastAsia="Arial" w:hAnsi="Arial"/>
                <w:sz w:val="20"/>
                <w:szCs w:val="20"/>
                <w:color w:val="auto"/>
              </w:rPr>
              <w:t>Total cash, cash equivalents and restricted cash</w:t>
            </w:r>
          </w:p>
        </w:tc>
        <w:tc>
          <w:tcPr>
            <w:tcW w:w="420" w:type="dxa"/>
            <w:vAlign w:val="bottom"/>
            <w:tcBorders>
              <w:top w:val="single" w:sz="8" w:color="auto"/>
              <w:bottom w:val="single" w:sz="8" w:color="auto"/>
            </w:tcBorders>
            <w:shd w:val="clear" w:color="auto" w:fill="D4EFF3"/>
          </w:tcPr>
          <w:p>
            <w:pPr>
              <w:jc w:val="right"/>
              <w:ind w:right="41"/>
              <w:spacing w:after="0" w:line="215"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shd w:val="clear" w:color="auto" w:fill="D4EFF3"/>
          </w:tcPr>
          <w:p>
            <w:pPr>
              <w:jc w:val="right"/>
              <w:ind w:right="23"/>
              <w:spacing w:after="0" w:line="215" w:lineRule="exact"/>
              <w:rPr>
                <w:sz w:val="20"/>
                <w:szCs w:val="20"/>
                <w:color w:val="auto"/>
              </w:rPr>
            </w:pPr>
            <w:r>
              <w:rPr>
                <w:rFonts w:ascii="Arial" w:cs="Arial" w:eastAsia="Arial" w:hAnsi="Arial"/>
                <w:sz w:val="20"/>
                <w:szCs w:val="20"/>
                <w:color w:val="auto"/>
              </w:rPr>
              <w:t>31,211</w:t>
            </w:r>
          </w:p>
        </w:tc>
        <w:tc>
          <w:tcPr>
            <w:tcW w:w="140" w:type="dxa"/>
            <w:vAlign w:val="bottom"/>
            <w:tcBorders>
              <w:top w:val="single" w:sz="8" w:color="D4EFF3"/>
              <w:bottom w:val="single" w:sz="8" w:color="D4EFF3"/>
            </w:tcBorders>
            <w:shd w:val="clear" w:color="auto" w:fill="D4EFF3"/>
          </w:tcPr>
          <w:p>
            <w:pPr>
              <w:spacing w:after="0"/>
              <w:rPr>
                <w:sz w:val="23"/>
                <w:szCs w:val="23"/>
                <w:color w:val="auto"/>
              </w:rPr>
            </w:pPr>
          </w:p>
        </w:tc>
        <w:tc>
          <w:tcPr>
            <w:tcW w:w="420" w:type="dxa"/>
            <w:vAlign w:val="bottom"/>
            <w:tcBorders>
              <w:top w:val="single" w:sz="8" w:color="D4EFF3"/>
              <w:bottom w:val="single" w:sz="8" w:color="auto"/>
            </w:tcBorders>
            <w:shd w:val="clear" w:color="auto" w:fill="D4EFF3"/>
          </w:tcPr>
          <w:p>
            <w:pPr>
              <w:jc w:val="right"/>
              <w:ind w:right="41"/>
              <w:spacing w:after="0" w:line="215"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D4EFF3"/>
              <w:bottom w:val="single" w:sz="8" w:color="auto"/>
            </w:tcBorders>
            <w:shd w:val="clear" w:color="auto" w:fill="D4EFF3"/>
          </w:tcPr>
          <w:p>
            <w:pPr>
              <w:jc w:val="right"/>
              <w:ind w:right="2"/>
              <w:spacing w:after="0" w:line="215" w:lineRule="exact"/>
              <w:rPr>
                <w:sz w:val="20"/>
                <w:szCs w:val="20"/>
                <w:color w:val="auto"/>
              </w:rPr>
            </w:pPr>
            <w:r>
              <w:rPr>
                <w:rFonts w:ascii="Arial" w:cs="Arial" w:eastAsia="Arial" w:hAnsi="Arial"/>
                <w:sz w:val="20"/>
                <w:szCs w:val="20"/>
                <w:color w:val="auto"/>
              </w:rPr>
              <w:t>44,051</w:t>
            </w:r>
          </w:p>
        </w:tc>
      </w:tr>
      <w:tr>
        <w:trPr>
          <w:trHeight w:val="238"/>
        </w:trPr>
        <w:tc>
          <w:tcPr>
            <w:tcW w:w="6320" w:type="dxa"/>
            <w:vAlign w:val="bottom"/>
            <w:tcBorders>
              <w:bottom w:val="single" w:sz="8" w:color="D4EFF3"/>
            </w:tcBorders>
          </w:tcPr>
          <w:p>
            <w:pPr>
              <w:ind w:left="20"/>
              <w:spacing w:after="0" w:line="199" w:lineRule="exact"/>
              <w:rPr>
                <w:sz w:val="20"/>
                <w:szCs w:val="20"/>
                <w:color w:val="auto"/>
              </w:rPr>
            </w:pPr>
            <w:r>
              <w:rPr>
                <w:rFonts w:ascii="Arial" w:cs="Arial" w:eastAsia="Arial" w:hAnsi="Arial"/>
                <w:sz w:val="20"/>
                <w:szCs w:val="20"/>
                <w:b w:val="1"/>
                <w:bCs w:val="1"/>
                <w:color w:val="auto"/>
              </w:rPr>
              <w:t>Supplemental disclosure of cash flow information</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D4EFF3"/>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315"/>
        </w:trPr>
        <w:tc>
          <w:tcPr>
            <w:tcW w:w="6320" w:type="dxa"/>
            <w:vAlign w:val="bottom"/>
            <w:tcBorders>
              <w:top w:val="single" w:sz="8" w:color="D4EFF3"/>
              <w:bottom w:val="single" w:sz="8" w:color="D4EFF3"/>
            </w:tcBorders>
            <w:shd w:val="clear" w:color="auto" w:fill="D4EFF3"/>
          </w:tcPr>
          <w:p>
            <w:pPr>
              <w:ind w:left="20"/>
              <w:spacing w:after="0"/>
              <w:rPr>
                <w:sz w:val="20"/>
                <w:szCs w:val="20"/>
                <w:color w:val="auto"/>
              </w:rPr>
            </w:pPr>
            <w:r>
              <w:rPr>
                <w:rFonts w:ascii="Arial" w:cs="Arial" w:eastAsia="Arial" w:hAnsi="Arial"/>
                <w:sz w:val="20"/>
                <w:szCs w:val="20"/>
                <w:color w:val="auto"/>
              </w:rPr>
              <w:t>Unrealized gain on marketable securities</w:t>
            </w:r>
          </w:p>
        </w:tc>
        <w:tc>
          <w:tcPr>
            <w:tcW w:w="420" w:type="dxa"/>
            <w:vAlign w:val="bottom"/>
            <w:tcBorders>
              <w:top w:val="single" w:sz="8" w:color="auto"/>
              <w:bottom w:val="single" w:sz="8" w:color="auto"/>
            </w:tcBorders>
            <w:shd w:val="clear" w:color="auto" w:fill="D4EFF3"/>
          </w:tcPr>
          <w:p>
            <w:pPr>
              <w:jc w:val="right"/>
              <w:ind w:right="8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shd w:val="clear" w:color="auto" w:fill="D4EFF3"/>
          </w:tcPr>
          <w:p>
            <w:pPr>
              <w:jc w:val="right"/>
              <w:ind w:right="23"/>
              <w:spacing w:after="0"/>
              <w:rPr>
                <w:sz w:val="20"/>
                <w:szCs w:val="20"/>
                <w:color w:val="auto"/>
              </w:rPr>
            </w:pPr>
            <w:r>
              <w:rPr>
                <w:rFonts w:ascii="Arial" w:cs="Arial" w:eastAsia="Arial" w:hAnsi="Arial"/>
                <w:sz w:val="20"/>
                <w:szCs w:val="20"/>
                <w:color w:val="auto"/>
              </w:rPr>
              <w:t>70</w:t>
            </w:r>
          </w:p>
        </w:tc>
        <w:tc>
          <w:tcPr>
            <w:tcW w:w="140" w:type="dxa"/>
            <w:vAlign w:val="bottom"/>
            <w:tcBorders>
              <w:top w:val="single" w:sz="8" w:color="D4EFF3"/>
              <w:bottom w:val="single" w:sz="8" w:color="D4EFF3"/>
            </w:tcBorders>
            <w:shd w:val="clear" w:color="auto" w:fill="D4EFF3"/>
          </w:tcPr>
          <w:p>
            <w:pPr>
              <w:spacing w:after="0"/>
              <w:rPr>
                <w:sz w:val="24"/>
                <w:szCs w:val="24"/>
                <w:color w:val="auto"/>
              </w:rPr>
            </w:pPr>
          </w:p>
        </w:tc>
        <w:tc>
          <w:tcPr>
            <w:tcW w:w="420" w:type="dxa"/>
            <w:vAlign w:val="bottom"/>
            <w:tcBorders>
              <w:top w:val="single" w:sz="8" w:color="D4EFF3"/>
              <w:bottom w:val="single" w:sz="8" w:color="auto"/>
            </w:tcBorders>
            <w:shd w:val="clear" w:color="auto" w:fill="D4EFF3"/>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D4EFF3"/>
              <w:bottom w:val="single" w:sz="8" w:color="auto"/>
            </w:tcBorders>
            <w:shd w:val="clear" w:color="auto" w:fill="D4EFF3"/>
          </w:tcPr>
          <w:p>
            <w:pPr>
              <w:jc w:val="right"/>
              <w:ind w:right="2"/>
              <w:spacing w:after="0"/>
              <w:rPr>
                <w:sz w:val="20"/>
                <w:szCs w:val="20"/>
                <w:color w:val="auto"/>
              </w:rPr>
            </w:pPr>
            <w:r>
              <w:rPr>
                <w:rFonts w:ascii="Arial" w:cs="Arial" w:eastAsia="Arial" w:hAnsi="Arial"/>
                <w:sz w:val="20"/>
                <w:szCs w:val="20"/>
                <w:color w:val="auto"/>
              </w:rPr>
              <w:t>173</w:t>
            </w: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2240" w:h="15840" w:orient="portrait"/>
          <w:cols w:equalWidth="0" w:num="1">
            <w:col w:w="9360"/>
          </w:cols>
          <w:pgMar w:left="1440" w:top="1416" w:right="1440" w:bottom="393" w:gutter="0" w:footer="0" w:header="0"/>
        </w:sectPr>
      </w:pPr>
    </w:p>
    <w:bookmarkStart w:id="110" w:name="page111"/>
    <w:bookmarkEnd w:id="110"/>
    <w:p>
      <w:pPr>
        <w:jc w:val="center"/>
        <w:spacing w:after="0"/>
        <w:rPr>
          <w:sz w:val="20"/>
          <w:szCs w:val="20"/>
          <w:color w:val="auto"/>
        </w:rPr>
      </w:pPr>
      <w:r>
        <w:rPr>
          <w:rFonts w:ascii="Arial" w:cs="Arial" w:eastAsia="Arial" w:hAnsi="Arial"/>
          <w:sz w:val="28"/>
          <w:szCs w:val="28"/>
          <w:b w:val="1"/>
          <w:bCs w:val="1"/>
          <w:color w:val="auto"/>
        </w:rPr>
        <w:t>Compass Therapeutics, Inc. and Subsidiaries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80" w:hanging="580"/>
        <w:spacing w:after="0"/>
        <w:tabs>
          <w:tab w:leader="none" w:pos="58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Formation and Business of the Company</w:t>
      </w:r>
    </w:p>
    <w:p>
      <w:pPr>
        <w:spacing w:after="0" w:line="237" w:lineRule="exact"/>
        <w:rPr>
          <w:rFonts w:ascii="Arial" w:cs="Arial" w:eastAsia="Arial" w:hAnsi="Arial"/>
          <w:sz w:val="20"/>
          <w:szCs w:val="20"/>
          <w:b w:val="1"/>
          <w:bCs w:val="1"/>
          <w:color w:val="auto"/>
        </w:rPr>
      </w:pPr>
    </w:p>
    <w:p>
      <w:pPr>
        <w:ind w:left="580" w:right="40"/>
        <w:spacing w:after="0" w:line="233" w:lineRule="auto"/>
        <w:rPr>
          <w:rFonts w:ascii="Arial" w:cs="Arial" w:eastAsia="Arial" w:hAnsi="Arial"/>
          <w:sz w:val="20"/>
          <w:szCs w:val="20"/>
          <w:b w:val="1"/>
          <w:bCs w:val="1"/>
          <w:color w:val="auto"/>
        </w:rPr>
      </w:pPr>
      <w:r>
        <w:rPr>
          <w:rFonts w:ascii="Arial" w:cs="Arial" w:eastAsia="Arial" w:hAnsi="Arial"/>
          <w:sz w:val="20"/>
          <w:szCs w:val="20"/>
          <w:color w:val="auto"/>
        </w:rPr>
        <w:t>Compass Therapeutics, Inc. (“Compass” or the “Company”) is a clinical-stage, oncology-focused biopharmaceutical company developing proprietary antibody-based therapeutics to treat multiple human diseases. Our scientific focus is on the relationship between angiogenesis and the immune system. Our pipeline includes novel product candidates that leverage our understanding of the tumor microenvironment, including both angiogenesis-targeted agents and immune-oncology focused agents. These product candidates are designed to optimize critical components required for an effective anti-tumor response to cancer. These include modulation of the microvasculature via angiogenesis-targeted agents; induction of a potent immune response via activators on effector cells in the tumor microenvironment; and alleviation of immunosuppressive mechanisms used by tumors to evade immune surveillance. We plan to advance our product candidates through clinical development as both standalone therapies and in combination with our proprietary drug candidates as long as their continued development is supported by clinical and nonclinical data. References to Compass or the Company herein include Compass Therapeutics, Inc. and its wholly owned subsidiaries.</w:t>
      </w:r>
    </w:p>
    <w:p>
      <w:pPr>
        <w:spacing w:after="0" w:line="177" w:lineRule="exact"/>
        <w:rPr>
          <w:rFonts w:ascii="Arial" w:cs="Arial" w:eastAsia="Arial" w:hAnsi="Arial"/>
          <w:sz w:val="20"/>
          <w:szCs w:val="20"/>
          <w:b w:val="1"/>
          <w:bCs w:val="1"/>
          <w:color w:val="auto"/>
        </w:rPr>
      </w:pPr>
    </w:p>
    <w:p>
      <w:pPr>
        <w:ind w:left="580" w:right="80"/>
        <w:spacing w:after="0" w:line="236" w:lineRule="auto"/>
        <w:rPr>
          <w:rFonts w:ascii="Arial" w:cs="Arial" w:eastAsia="Arial" w:hAnsi="Arial"/>
          <w:sz w:val="20"/>
          <w:szCs w:val="20"/>
          <w:b w:val="1"/>
          <w:bCs w:val="1"/>
          <w:color w:val="auto"/>
        </w:rPr>
      </w:pPr>
      <w:r>
        <w:rPr>
          <w:rFonts w:ascii="Arial" w:cs="Arial" w:eastAsia="Arial" w:hAnsi="Arial"/>
          <w:sz w:val="20"/>
          <w:szCs w:val="20"/>
          <w:color w:val="auto"/>
        </w:rPr>
        <w:t>The Company is subject to risks and uncertainties common to companies in the biotechnology and pharmaceutical industries.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w:t>
      </w:r>
    </w:p>
    <w:p>
      <w:pPr>
        <w:spacing w:after="0" w:line="197" w:lineRule="exact"/>
        <w:rPr>
          <w:rFonts w:ascii="Arial" w:cs="Arial" w:eastAsia="Arial" w:hAnsi="Arial"/>
          <w:sz w:val="20"/>
          <w:szCs w:val="20"/>
          <w:b w:val="1"/>
          <w:bCs w:val="1"/>
          <w:color w:val="auto"/>
        </w:rPr>
      </w:pPr>
    </w:p>
    <w:p>
      <w:pPr>
        <w:ind w:left="540" w:hanging="490"/>
        <w:spacing w:after="0"/>
        <w:tabs>
          <w:tab w:leader="none" w:pos="540" w:val="left"/>
        </w:tabs>
        <w:numPr>
          <w:ilvl w:val="1"/>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Liquidity, Uncertainties and Going Concern</w:t>
      </w:r>
    </w:p>
    <w:p>
      <w:pPr>
        <w:spacing w:after="0" w:line="244" w:lineRule="exact"/>
        <w:rPr>
          <w:sz w:val="20"/>
          <w:szCs w:val="20"/>
          <w:color w:val="auto"/>
        </w:rPr>
      </w:pPr>
    </w:p>
    <w:p>
      <w:pPr>
        <w:ind w:left="580" w:right="280"/>
        <w:spacing w:after="0" w:line="260" w:lineRule="auto"/>
        <w:rPr>
          <w:sz w:val="20"/>
          <w:szCs w:val="20"/>
          <w:color w:val="auto"/>
        </w:rPr>
      </w:pPr>
      <w:r>
        <w:rPr>
          <w:rFonts w:ascii="Arial" w:cs="Arial" w:eastAsia="Arial" w:hAnsi="Arial"/>
          <w:sz w:val="20"/>
          <w:szCs w:val="20"/>
          <w:color w:val="auto"/>
        </w:rPr>
        <w:t>The Company has evaluated whether there are conditions and events, considered in the aggregate, that raise substantial doubt about its ability to continue as a going concern within one year after the date that the consolidated financial statements are issued.</w:t>
      </w:r>
    </w:p>
    <w:p>
      <w:pPr>
        <w:spacing w:after="0" w:line="181" w:lineRule="exact"/>
        <w:rPr>
          <w:sz w:val="20"/>
          <w:szCs w:val="20"/>
          <w:color w:val="auto"/>
        </w:rPr>
      </w:pPr>
    </w:p>
    <w:p>
      <w:pPr>
        <w:ind w:left="580" w:right="40"/>
        <w:spacing w:after="0" w:line="247" w:lineRule="auto"/>
        <w:rPr>
          <w:sz w:val="20"/>
          <w:szCs w:val="20"/>
          <w:color w:val="auto"/>
        </w:rPr>
      </w:pPr>
      <w:r>
        <w:rPr>
          <w:rFonts w:ascii="Arial" w:cs="Arial" w:eastAsia="Arial" w:hAnsi="Arial"/>
          <w:sz w:val="20"/>
          <w:szCs w:val="20"/>
          <w:color w:val="auto"/>
        </w:rPr>
        <w:t>Since its inception, the Company has funded its operations primarily with proceeds from the sale of its equity securities. The Company has incurred recurring losses since its inception and had an accumulated deficit of $431 million on December 31, 2025. The Company expects to continue to generate operating losses for the foreseeable future. The Company expects that its cash, cash equivalents and marketable securities will be sufficient to fund its operating expenses and capital expenditure requirements into 2028. The future viability of the Company beyond that point is dependent on its ability to raise additional capital to finance its operations.</w:t>
      </w:r>
    </w:p>
    <w:p>
      <w:pPr>
        <w:spacing w:after="0" w:line="194" w:lineRule="exact"/>
        <w:rPr>
          <w:sz w:val="20"/>
          <w:szCs w:val="20"/>
          <w:color w:val="auto"/>
        </w:rPr>
      </w:pPr>
    </w:p>
    <w:p>
      <w:pPr>
        <w:ind w:left="580" w:right="120"/>
        <w:spacing w:after="0" w:line="244" w:lineRule="auto"/>
        <w:rPr>
          <w:sz w:val="20"/>
          <w:szCs w:val="20"/>
          <w:color w:val="auto"/>
        </w:rPr>
      </w:pPr>
      <w:r>
        <w:rPr>
          <w:rFonts w:ascii="Arial" w:cs="Arial" w:eastAsia="Arial" w:hAnsi="Arial"/>
          <w:sz w:val="20"/>
          <w:szCs w:val="20"/>
          <w:color w:val="auto"/>
        </w:rPr>
        <w:t>The Company is subject to risks common to early stage companies in the biotechnology industry including, but not limited to: having a limited operating history and no products approved for commercial sale; having a history of significant losses; its need to obtain additional financing; dependence on its ability to advance its current and future product candidates through clinical trials, marketing approval and commercialization; the lengthy and expensive nature and uncertain outcomes of the clinical development process; the lengthy, time consuming and unpredictable nature of the regulatory approval process; the results of preclinical studies and early stage clinical trials that may not be predictive of future results; dependence on its key personnel; risks related to patent protection and the Company’s pending patent applications; dependence on third party collaborators for the discovery, development and commercialization of current and future product candidates; and significant competition from other biotechnology and pharmaceutical companies.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2240" w:h="15840" w:orient="portrait"/>
          <w:cols w:equalWidth="0" w:num="1">
            <w:col w:w="9360"/>
          </w:cols>
          <w:pgMar w:left="1440" w:top="1405" w:right="1440" w:bottom="393" w:gutter="0" w:footer="0" w:header="0"/>
        </w:sectPr>
      </w:pPr>
    </w:p>
    <w:bookmarkStart w:id="111" w:name="page112"/>
    <w:bookmarkEnd w:id="111"/>
    <w:p>
      <w:pPr>
        <w:ind w:left="618" w:right="780"/>
        <w:spacing w:after="0" w:line="282" w:lineRule="auto"/>
        <w:rPr>
          <w:sz w:val="20"/>
          <w:szCs w:val="20"/>
          <w:color w:val="auto"/>
        </w:rPr>
      </w:pPr>
      <w:r>
        <w:rPr>
          <w:rFonts w:ascii="Arial" w:cs="Arial" w:eastAsia="Arial" w:hAnsi="Arial"/>
          <w:sz w:val="20"/>
          <w:szCs w:val="20"/>
          <w:color w:val="auto"/>
        </w:rPr>
        <w:t>Even if the Company’s development efforts are successful, it is uncertain when, if ever, the Company will realize significant revenue from product sales.</w:t>
      </w:r>
    </w:p>
    <w:p>
      <w:pPr>
        <w:spacing w:after="0" w:line="34" w:lineRule="exact"/>
        <w:rPr>
          <w:sz w:val="20"/>
          <w:szCs w:val="20"/>
          <w:color w:val="auto"/>
        </w:rPr>
      </w:pPr>
    </w:p>
    <w:p>
      <w:pPr>
        <w:ind w:left="618" w:right="4720" w:hanging="618"/>
        <w:spacing w:after="0" w:line="422" w:lineRule="auto"/>
        <w:tabs>
          <w:tab w:leader="none" w:pos="493"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16" w:lineRule="exact"/>
        <w:rPr>
          <w:sz w:val="20"/>
          <w:szCs w:val="20"/>
          <w:color w:val="auto"/>
        </w:rPr>
      </w:pPr>
    </w:p>
    <w:p>
      <w:pPr>
        <w:ind w:left="618" w:right="60"/>
        <w:spacing w:after="0" w:line="250" w:lineRule="auto"/>
        <w:rPr>
          <w:sz w:val="20"/>
          <w:szCs w:val="20"/>
          <w:color w:val="auto"/>
        </w:rPr>
      </w:pPr>
      <w:r>
        <w:rPr>
          <w:rFonts w:ascii="Arial" w:cs="Arial" w:eastAsia="Arial" w:hAnsi="Arial"/>
          <w:sz w:val="20"/>
          <w:szCs w:val="20"/>
          <w:color w:val="auto"/>
        </w:rPr>
        <w:t>The accompanying consolidated financial statements are presented in U.S. dollars and have been prepared in conformity with accounting principles generally accepted in the United States of America (“GAAP”). Any reference in these notes to applicable guidance is meant to refer to the authoritative GAAP as found in the Accounting Standards Codification (“ASC”) and as amended by Accounting Standards Update (“ASU”) of the Financial Accounting Standards Board (“FASB”).</w:t>
      </w:r>
    </w:p>
    <w:p>
      <w:pPr>
        <w:spacing w:after="0" w:line="188" w:lineRule="exact"/>
        <w:rPr>
          <w:sz w:val="20"/>
          <w:szCs w:val="20"/>
          <w:color w:val="auto"/>
        </w:rPr>
      </w:pPr>
    </w:p>
    <w:p>
      <w:pPr>
        <w:ind w:left="618"/>
        <w:spacing w:after="0"/>
        <w:rPr>
          <w:sz w:val="20"/>
          <w:szCs w:val="20"/>
          <w:color w:val="auto"/>
        </w:rPr>
      </w:pPr>
      <w:r>
        <w:rPr>
          <w:rFonts w:ascii="Arial" w:cs="Arial" w:eastAsia="Arial" w:hAnsi="Arial"/>
          <w:sz w:val="20"/>
          <w:szCs w:val="20"/>
          <w:b w:val="1"/>
          <w:bCs w:val="1"/>
          <w:color w:val="auto"/>
        </w:rPr>
        <w:t>Principles of Consolidation</w:t>
      </w:r>
    </w:p>
    <w:p>
      <w:pPr>
        <w:spacing w:after="0" w:line="244" w:lineRule="exact"/>
        <w:rPr>
          <w:sz w:val="20"/>
          <w:szCs w:val="20"/>
          <w:color w:val="auto"/>
        </w:rPr>
      </w:pPr>
    </w:p>
    <w:p>
      <w:pPr>
        <w:ind w:left="618" w:right="420"/>
        <w:spacing w:after="0" w:line="250" w:lineRule="auto"/>
        <w:rPr>
          <w:sz w:val="20"/>
          <w:szCs w:val="20"/>
          <w:color w:val="auto"/>
        </w:rPr>
      </w:pPr>
      <w:r>
        <w:rPr>
          <w:rFonts w:ascii="Arial" w:cs="Arial" w:eastAsia="Arial" w:hAnsi="Arial"/>
          <w:sz w:val="20"/>
          <w:szCs w:val="20"/>
          <w:color w:val="auto"/>
        </w:rPr>
        <w:t>The accompanying consolidated financial statements include the accounts of Compass Therapeutics, Inc., and its wholly -owned subsidiaries, including Compass Therapeutics LLC, Compass Therapeutics Advisors Inc., Trigr Therapeutics, Inc., Compass Acquisition Company, LLC, and Compass Therapeutics Securities Corporation. All intercompany accounts and transactions have been eliminated in consolidation.</w:t>
      </w:r>
    </w:p>
    <w:p>
      <w:pPr>
        <w:spacing w:after="0" w:line="188" w:lineRule="exact"/>
        <w:rPr>
          <w:sz w:val="20"/>
          <w:szCs w:val="20"/>
          <w:color w:val="auto"/>
        </w:rPr>
      </w:pPr>
    </w:p>
    <w:p>
      <w:pPr>
        <w:ind w:left="618"/>
        <w:spacing w:after="0"/>
        <w:rPr>
          <w:sz w:val="20"/>
          <w:szCs w:val="20"/>
          <w:color w:val="auto"/>
        </w:rPr>
      </w:pPr>
      <w:r>
        <w:rPr>
          <w:rFonts w:ascii="Arial" w:cs="Arial" w:eastAsia="Arial" w:hAnsi="Arial"/>
          <w:sz w:val="20"/>
          <w:szCs w:val="20"/>
          <w:b w:val="1"/>
          <w:bCs w:val="1"/>
          <w:color w:val="auto"/>
        </w:rPr>
        <w:t>Use of Estimates</w:t>
      </w:r>
    </w:p>
    <w:p>
      <w:pPr>
        <w:spacing w:after="0" w:line="244" w:lineRule="exact"/>
        <w:rPr>
          <w:sz w:val="20"/>
          <w:szCs w:val="20"/>
          <w:color w:val="auto"/>
        </w:rPr>
      </w:pPr>
    </w:p>
    <w:p>
      <w:pPr>
        <w:ind w:left="618" w:right="80"/>
        <w:spacing w:after="0" w:line="244" w:lineRule="auto"/>
        <w:rPr>
          <w:sz w:val="20"/>
          <w:szCs w:val="20"/>
          <w:color w:val="auto"/>
        </w:rPr>
      </w:pPr>
      <w:r>
        <w:rPr>
          <w:rFonts w:ascii="Arial" w:cs="Arial" w:eastAsia="Arial" w:hAnsi="Arial"/>
          <w:sz w:val="20"/>
          <w:szCs w:val="20"/>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financial statements include, but are not limited to, the accrual of research and development expenses, useful lives of equipment, interest rate and term operating lease ROU and liability, the percentage of completion of contractual arrangements, future cash expenditures for liquidity estimates, the valuation of common stock and estimates associated with stock -based awards. Estimates are periodically reviewed in light of changes in circumstances, facts and experience. Actual results could differ from those estimates. Changes in estimates are recorded prospectively in the period that they become known.</w:t>
      </w:r>
    </w:p>
    <w:p>
      <w:pPr>
        <w:spacing w:after="0" w:line="194" w:lineRule="exact"/>
        <w:rPr>
          <w:sz w:val="20"/>
          <w:szCs w:val="20"/>
          <w:color w:val="auto"/>
        </w:rPr>
      </w:pPr>
    </w:p>
    <w:p>
      <w:pPr>
        <w:ind w:left="618"/>
        <w:spacing w:after="0"/>
        <w:rPr>
          <w:sz w:val="20"/>
          <w:szCs w:val="20"/>
          <w:color w:val="auto"/>
        </w:rPr>
      </w:pPr>
      <w:r>
        <w:rPr>
          <w:rFonts w:ascii="Arial" w:cs="Arial" w:eastAsia="Arial" w:hAnsi="Arial"/>
          <w:sz w:val="20"/>
          <w:szCs w:val="20"/>
          <w:b w:val="1"/>
          <w:bCs w:val="1"/>
          <w:color w:val="auto"/>
        </w:rPr>
        <w:t>Segment Information</w:t>
      </w:r>
    </w:p>
    <w:p>
      <w:pPr>
        <w:spacing w:after="0" w:line="244" w:lineRule="exact"/>
        <w:rPr>
          <w:sz w:val="20"/>
          <w:szCs w:val="20"/>
          <w:color w:val="auto"/>
        </w:rPr>
      </w:pPr>
    </w:p>
    <w:p>
      <w:pPr>
        <w:ind w:left="618" w:right="20"/>
        <w:spacing w:after="0" w:line="248" w:lineRule="auto"/>
        <w:rPr>
          <w:sz w:val="20"/>
          <w:szCs w:val="20"/>
          <w:color w:val="auto"/>
        </w:rPr>
      </w:pPr>
      <w:r>
        <w:rPr>
          <w:rFonts w:ascii="Arial" w:cs="Arial" w:eastAsia="Arial" w:hAnsi="Arial"/>
          <w:sz w:val="20"/>
          <w:szCs w:val="20"/>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decision-maker, its chief executive officer, manages the Company’s operations on a consolidated basis for the purpose of allocating resources. All the Company’s long-lived assets are held in the United States.</w:t>
      </w:r>
    </w:p>
    <w:p>
      <w:pPr>
        <w:spacing w:after="0" w:line="189" w:lineRule="exact"/>
        <w:rPr>
          <w:sz w:val="20"/>
          <w:szCs w:val="20"/>
          <w:color w:val="auto"/>
        </w:rPr>
      </w:pPr>
    </w:p>
    <w:p>
      <w:pPr>
        <w:ind w:left="618"/>
        <w:spacing w:after="0"/>
        <w:rPr>
          <w:sz w:val="20"/>
          <w:szCs w:val="20"/>
          <w:color w:val="auto"/>
        </w:rPr>
      </w:pPr>
      <w:r>
        <w:rPr>
          <w:rFonts w:ascii="Arial" w:cs="Arial" w:eastAsia="Arial" w:hAnsi="Arial"/>
          <w:sz w:val="20"/>
          <w:szCs w:val="20"/>
          <w:b w:val="1"/>
          <w:bCs w:val="1"/>
          <w:color w:val="auto"/>
        </w:rPr>
        <w:t>Cash and Cash Equivalents</w:t>
      </w:r>
    </w:p>
    <w:p>
      <w:pPr>
        <w:spacing w:after="0" w:line="244" w:lineRule="exact"/>
        <w:rPr>
          <w:sz w:val="20"/>
          <w:szCs w:val="20"/>
          <w:color w:val="auto"/>
        </w:rPr>
      </w:pPr>
    </w:p>
    <w:p>
      <w:pPr>
        <w:ind w:left="618" w:right="180"/>
        <w:spacing w:after="0" w:line="248" w:lineRule="auto"/>
        <w:rPr>
          <w:sz w:val="20"/>
          <w:szCs w:val="20"/>
          <w:color w:val="auto"/>
        </w:rPr>
      </w:pPr>
      <w:r>
        <w:rPr>
          <w:rFonts w:ascii="Arial" w:cs="Arial" w:eastAsia="Arial" w:hAnsi="Arial"/>
          <w:sz w:val="20"/>
          <w:szCs w:val="20"/>
          <w:color w:val="auto"/>
        </w:rPr>
        <w:t>The Company considers all highly liquid investments that are readily convertible into cash with original maturities of three months or less from the date of purchase to be cash equivalents. Cash and cash equivalents include cash held in banks and amounts held in money market funds or commercial paper. Cash equivalents are stated at cost, which approximates market value. Cash and cash equivalents were $30.6 million and $43.5 million on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
        <w:spacing w:after="0"/>
        <w:rPr>
          <w:sz w:val="20"/>
          <w:szCs w:val="20"/>
          <w:color w:val="auto"/>
        </w:rPr>
      </w:pPr>
      <w:r>
        <w:rPr>
          <w:rFonts w:ascii="Arial" w:cs="Arial" w:eastAsia="Arial" w:hAnsi="Arial"/>
          <w:sz w:val="20"/>
          <w:szCs w:val="20"/>
          <w:color w:val="auto"/>
        </w:rPr>
        <w:t>110</w:t>
      </w:r>
    </w:p>
    <w:p>
      <w:pPr>
        <w:sectPr>
          <w:pgSz w:w="12240" w:h="15840" w:orient="portrait"/>
          <w:cols w:equalWidth="0" w:num="1">
            <w:col w:w="9398"/>
          </w:cols>
          <w:pgMar w:left="1402" w:top="1420" w:right="1440" w:bottom="393" w:gutter="0" w:footer="0" w:header="0"/>
        </w:sectPr>
      </w:pPr>
    </w:p>
    <w:bookmarkStart w:id="112" w:name="page113"/>
    <w:bookmarkEnd w:id="112"/>
    <w:p>
      <w:pPr>
        <w:ind w:left="580"/>
        <w:spacing w:after="0"/>
        <w:rPr>
          <w:sz w:val="20"/>
          <w:szCs w:val="20"/>
          <w:color w:val="auto"/>
        </w:rPr>
      </w:pPr>
      <w:r>
        <w:rPr>
          <w:rFonts w:ascii="Arial" w:cs="Arial" w:eastAsia="Arial" w:hAnsi="Arial"/>
          <w:sz w:val="20"/>
          <w:szCs w:val="20"/>
          <w:b w:val="1"/>
          <w:bCs w:val="1"/>
          <w:color w:val="auto"/>
        </w:rPr>
        <w:t>Marketable Securities</w:t>
      </w:r>
    </w:p>
    <w:p>
      <w:pPr>
        <w:spacing w:after="0" w:line="244" w:lineRule="exact"/>
        <w:rPr>
          <w:sz w:val="20"/>
          <w:szCs w:val="20"/>
          <w:color w:val="auto"/>
        </w:rPr>
      </w:pPr>
    </w:p>
    <w:p>
      <w:pPr>
        <w:ind w:left="580"/>
        <w:spacing w:after="0" w:line="248" w:lineRule="auto"/>
        <w:rPr>
          <w:sz w:val="20"/>
          <w:szCs w:val="20"/>
          <w:color w:val="auto"/>
        </w:rPr>
      </w:pPr>
      <w:r>
        <w:rPr>
          <w:rFonts w:ascii="Arial" w:cs="Arial" w:eastAsia="Arial" w:hAnsi="Arial"/>
          <w:sz w:val="20"/>
          <w:szCs w:val="20"/>
          <w:color w:val="auto"/>
        </w:rPr>
        <w:t>All of the Company’s investment securities are debt securities and bank instruments. The Company carries these investments at fair value. Unrealized gains and losses, if any, are reported as a separate component of stockholders’ equity. The cost of investment securities is adjusted for amortization of premiums and accretion of discounts to maturity. Such amortization and accretion are included in interest income. Realized gains and losses, if any, are also included in interest income. The cost of securities sold is based on the specific identification method.</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Concentrations of Credit Risk</w:t>
      </w:r>
    </w:p>
    <w:p>
      <w:pPr>
        <w:spacing w:after="0" w:line="242" w:lineRule="exact"/>
        <w:rPr>
          <w:sz w:val="20"/>
          <w:szCs w:val="20"/>
          <w:color w:val="auto"/>
        </w:rPr>
      </w:pPr>
    </w:p>
    <w:p>
      <w:pPr>
        <w:ind w:left="580" w:right="80"/>
        <w:spacing w:after="0" w:line="246" w:lineRule="auto"/>
        <w:rPr>
          <w:sz w:val="20"/>
          <w:szCs w:val="20"/>
          <w:color w:val="auto"/>
        </w:rPr>
      </w:pPr>
      <w:r>
        <w:rPr>
          <w:rFonts w:ascii="Arial" w:cs="Arial" w:eastAsia="Arial" w:hAnsi="Arial"/>
          <w:sz w:val="20"/>
          <w:szCs w:val="20"/>
          <w:color w:val="auto"/>
        </w:rPr>
        <w:t>Financial instruments, which potentially subject the Company to concentrations of credit risk, principally consist of cash equivalents and marketable securities. The Company invests its excess cash primarily in money market funds, U.S. treasury notes, and high quality, marketable debt instruments of corporations in accordance with the Company’s investment policy. The Company’s investment policy defines allowable investments and establishes guidelines relating to credit quality, diversification, and maturities of its investments to preserve principal and maintain liquidity. The Company has not experienced any realized losses related to its cash equivalents and marketable securities.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Property and Equipment</w:t>
      </w:r>
    </w:p>
    <w:p>
      <w:pPr>
        <w:spacing w:after="0" w:line="242" w:lineRule="exact"/>
        <w:rPr>
          <w:sz w:val="20"/>
          <w:szCs w:val="20"/>
          <w:color w:val="auto"/>
        </w:rPr>
      </w:pPr>
    </w:p>
    <w:p>
      <w:pPr>
        <w:jc w:val="both"/>
        <w:ind w:left="580" w:right="520"/>
        <w:spacing w:after="0" w:line="261" w:lineRule="auto"/>
        <w:rPr>
          <w:sz w:val="20"/>
          <w:szCs w:val="20"/>
          <w:color w:val="auto"/>
        </w:rPr>
      </w:pPr>
      <w:r>
        <w:rPr>
          <w:rFonts w:ascii="Arial" w:cs="Arial" w:eastAsia="Arial" w:hAnsi="Arial"/>
          <w:sz w:val="20"/>
          <w:szCs w:val="20"/>
          <w:color w:val="auto"/>
        </w:rPr>
        <w:t>Property and equipment are stated at cost, net of accumulated depreciation and amortization. Depreciation and amortization are recorded using the straight-line method over the estimated useful lives of the related assets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100" w:type="dxa"/>
            <w:vAlign w:val="bottom"/>
            <w:shd w:val="clear" w:color="auto" w:fill="D4EFF3"/>
          </w:tcPr>
          <w:p>
            <w:pPr>
              <w:spacing w:after="0"/>
              <w:rPr>
                <w:sz w:val="20"/>
                <w:szCs w:val="20"/>
                <w:color w:val="auto"/>
              </w:rPr>
            </w:pPr>
            <w:r>
              <w:rPr>
                <w:rFonts w:ascii="Arial" w:cs="Arial" w:eastAsia="Arial" w:hAnsi="Arial"/>
                <w:sz w:val="20"/>
                <w:szCs w:val="20"/>
                <w:b w:val="1"/>
                <w:bCs w:val="1"/>
                <w:color w:val="auto"/>
              </w:rPr>
              <w:t>Asset Classification</w:t>
            </w:r>
          </w:p>
        </w:tc>
        <w:tc>
          <w:tcPr>
            <w:tcW w:w="4020" w:type="dxa"/>
            <w:vAlign w:val="bottom"/>
            <w:shd w:val="clear" w:color="auto" w:fill="D4EFF3"/>
          </w:tcPr>
          <w:p>
            <w:pPr>
              <w:jc w:val="right"/>
              <w:spacing w:after="0"/>
              <w:rPr>
                <w:sz w:val="20"/>
                <w:szCs w:val="20"/>
                <w:color w:val="auto"/>
              </w:rPr>
            </w:pPr>
            <w:r>
              <w:rPr>
                <w:rFonts w:ascii="Arial" w:cs="Arial" w:eastAsia="Arial" w:hAnsi="Arial"/>
                <w:sz w:val="20"/>
                <w:szCs w:val="20"/>
                <w:b w:val="1"/>
                <w:bCs w:val="1"/>
                <w:color w:val="auto"/>
              </w:rPr>
              <w:t>Estimated Useful Life</w:t>
            </w:r>
          </w:p>
        </w:tc>
      </w:tr>
      <w:tr>
        <w:trPr>
          <w:trHeight w:val="230"/>
        </w:trPr>
        <w:tc>
          <w:tcPr>
            <w:tcW w:w="3100" w:type="dxa"/>
            <w:vAlign w:val="bottom"/>
          </w:tcPr>
          <w:p>
            <w:pPr>
              <w:spacing w:after="0"/>
              <w:rPr>
                <w:sz w:val="20"/>
                <w:szCs w:val="20"/>
                <w:color w:val="auto"/>
              </w:rPr>
            </w:pPr>
            <w:r>
              <w:rPr>
                <w:rFonts w:ascii="Arial" w:cs="Arial" w:eastAsia="Arial" w:hAnsi="Arial"/>
                <w:sz w:val="20"/>
                <w:szCs w:val="20"/>
                <w:color w:val="auto"/>
              </w:rPr>
              <w:t>Equipment</w:t>
            </w:r>
          </w:p>
        </w:tc>
        <w:tc>
          <w:tcPr>
            <w:tcW w:w="4020" w:type="dxa"/>
            <w:vAlign w:val="bottom"/>
          </w:tcPr>
          <w:p>
            <w:pPr>
              <w:jc w:val="right"/>
              <w:spacing w:after="0"/>
              <w:rPr>
                <w:sz w:val="20"/>
                <w:szCs w:val="20"/>
                <w:color w:val="auto"/>
              </w:rPr>
            </w:pPr>
            <w:r>
              <w:rPr>
                <w:rFonts w:ascii="Arial" w:cs="Arial" w:eastAsia="Arial" w:hAnsi="Arial"/>
                <w:sz w:val="20"/>
                <w:szCs w:val="20"/>
                <w:color w:val="auto"/>
              </w:rPr>
              <w:t>5 years</w:t>
            </w:r>
          </w:p>
        </w:tc>
      </w:tr>
      <w:tr>
        <w:trPr>
          <w:trHeight w:val="228"/>
        </w:trPr>
        <w:tc>
          <w:tcPr>
            <w:tcW w:w="3100" w:type="dxa"/>
            <w:vAlign w:val="bottom"/>
            <w:shd w:val="clear" w:color="auto" w:fill="D4EFF3"/>
          </w:tcPr>
          <w:p>
            <w:pPr>
              <w:spacing w:after="0" w:line="228" w:lineRule="exact"/>
              <w:rPr>
                <w:sz w:val="20"/>
                <w:szCs w:val="20"/>
                <w:color w:val="auto"/>
              </w:rPr>
            </w:pPr>
            <w:r>
              <w:rPr>
                <w:rFonts w:ascii="Arial" w:cs="Arial" w:eastAsia="Arial" w:hAnsi="Arial"/>
                <w:sz w:val="20"/>
                <w:szCs w:val="20"/>
                <w:color w:val="auto"/>
              </w:rPr>
              <w:t>Furniture and fixtures</w:t>
            </w:r>
          </w:p>
        </w:tc>
        <w:tc>
          <w:tcPr>
            <w:tcW w:w="4020" w:type="dxa"/>
            <w:vAlign w:val="bottom"/>
            <w:shd w:val="clear" w:color="auto" w:fill="D4EFF3"/>
          </w:tcPr>
          <w:p>
            <w:pPr>
              <w:jc w:val="right"/>
              <w:spacing w:after="0" w:line="228" w:lineRule="exact"/>
              <w:rPr>
                <w:sz w:val="20"/>
                <w:szCs w:val="20"/>
                <w:color w:val="auto"/>
              </w:rPr>
            </w:pPr>
            <w:r>
              <w:rPr>
                <w:rFonts w:ascii="Arial" w:cs="Arial" w:eastAsia="Arial" w:hAnsi="Arial"/>
                <w:sz w:val="20"/>
                <w:szCs w:val="20"/>
                <w:color w:val="auto"/>
              </w:rPr>
              <w:t>7 years</w:t>
            </w:r>
          </w:p>
        </w:tc>
      </w:tr>
      <w:tr>
        <w:trPr>
          <w:trHeight w:val="230"/>
        </w:trPr>
        <w:tc>
          <w:tcPr>
            <w:tcW w:w="3100" w:type="dxa"/>
            <w:vAlign w:val="bottom"/>
          </w:tcPr>
          <w:p>
            <w:pPr>
              <w:spacing w:after="0"/>
              <w:rPr>
                <w:sz w:val="20"/>
                <w:szCs w:val="20"/>
                <w:color w:val="auto"/>
              </w:rPr>
            </w:pPr>
            <w:r>
              <w:rPr>
                <w:rFonts w:ascii="Arial" w:cs="Arial" w:eastAsia="Arial" w:hAnsi="Arial"/>
                <w:sz w:val="20"/>
                <w:szCs w:val="20"/>
                <w:color w:val="auto"/>
              </w:rPr>
              <w:t>Software</w:t>
            </w:r>
          </w:p>
        </w:tc>
        <w:tc>
          <w:tcPr>
            <w:tcW w:w="4020" w:type="dxa"/>
            <w:vAlign w:val="bottom"/>
          </w:tcPr>
          <w:p>
            <w:pPr>
              <w:jc w:val="right"/>
              <w:spacing w:after="0"/>
              <w:rPr>
                <w:sz w:val="20"/>
                <w:szCs w:val="20"/>
                <w:color w:val="auto"/>
              </w:rPr>
            </w:pPr>
            <w:r>
              <w:rPr>
                <w:rFonts w:ascii="Arial" w:cs="Arial" w:eastAsia="Arial" w:hAnsi="Arial"/>
                <w:sz w:val="20"/>
                <w:szCs w:val="20"/>
                <w:color w:val="auto"/>
              </w:rPr>
              <w:t>5 years</w:t>
            </w:r>
          </w:p>
        </w:tc>
      </w:tr>
      <w:tr>
        <w:trPr>
          <w:trHeight w:val="230"/>
        </w:trPr>
        <w:tc>
          <w:tcPr>
            <w:tcW w:w="3100" w:type="dxa"/>
            <w:vAlign w:val="bottom"/>
            <w:shd w:val="clear" w:color="auto" w:fill="D4EFF3"/>
          </w:tcPr>
          <w:p>
            <w:pPr>
              <w:spacing w:after="0"/>
              <w:rPr>
                <w:sz w:val="20"/>
                <w:szCs w:val="20"/>
                <w:color w:val="auto"/>
              </w:rPr>
            </w:pPr>
            <w:r>
              <w:rPr>
                <w:rFonts w:ascii="Arial" w:cs="Arial" w:eastAsia="Arial" w:hAnsi="Arial"/>
                <w:sz w:val="20"/>
                <w:szCs w:val="20"/>
                <w:color w:val="auto"/>
              </w:rPr>
              <w:t>Leasehold improvements</w:t>
            </w:r>
          </w:p>
        </w:tc>
        <w:tc>
          <w:tcPr>
            <w:tcW w:w="4020" w:type="dxa"/>
            <w:vAlign w:val="bottom"/>
            <w:shd w:val="clear" w:color="auto" w:fill="D4EFF3"/>
          </w:tcPr>
          <w:p>
            <w:pPr>
              <w:jc w:val="right"/>
              <w:spacing w:after="0"/>
              <w:rPr>
                <w:sz w:val="20"/>
                <w:szCs w:val="20"/>
                <w:color w:val="auto"/>
              </w:rPr>
            </w:pPr>
            <w:r>
              <w:rPr>
                <w:rFonts w:ascii="Arial" w:cs="Arial" w:eastAsia="Arial" w:hAnsi="Arial"/>
                <w:sz w:val="20"/>
                <w:szCs w:val="20"/>
                <w:color w:val="auto"/>
              </w:rPr>
              <w:t>Lesser of estimated useful life or lease term</w:t>
            </w:r>
          </w:p>
        </w:tc>
      </w:tr>
    </w:tbl>
    <w:p>
      <w:pPr>
        <w:spacing w:after="0" w:line="243" w:lineRule="exact"/>
        <w:rPr>
          <w:sz w:val="20"/>
          <w:szCs w:val="20"/>
          <w:color w:val="auto"/>
        </w:rPr>
      </w:pPr>
    </w:p>
    <w:p>
      <w:pPr>
        <w:ind w:left="580"/>
        <w:spacing w:after="0" w:line="247" w:lineRule="auto"/>
        <w:rPr>
          <w:sz w:val="20"/>
          <w:szCs w:val="20"/>
          <w:color w:val="auto"/>
        </w:rPr>
      </w:pPr>
      <w:r>
        <w:rPr>
          <w:rFonts w:ascii="Arial" w:cs="Arial" w:eastAsia="Arial" w:hAnsi="Arial"/>
          <w:sz w:val="20"/>
          <w:szCs w:val="20"/>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and comprehensive loss in the period of disposal. Costs for capital assets not yet placed into service are capitalized as construction-in-progress and depreciated once placed into service.</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Impairment of Long-Lived Assets</w:t>
      </w:r>
    </w:p>
    <w:p>
      <w:pPr>
        <w:spacing w:after="0" w:line="244" w:lineRule="exact"/>
        <w:rPr>
          <w:sz w:val="20"/>
          <w:szCs w:val="20"/>
          <w:color w:val="auto"/>
        </w:rPr>
      </w:pPr>
    </w:p>
    <w:p>
      <w:pPr>
        <w:ind w:left="580" w:right="20"/>
        <w:spacing w:after="0" w:line="243" w:lineRule="auto"/>
        <w:rPr>
          <w:sz w:val="20"/>
          <w:szCs w:val="20"/>
          <w:color w:val="auto"/>
        </w:rPr>
      </w:pPr>
      <w:r>
        <w:rPr>
          <w:rFonts w:ascii="Arial" w:cs="Arial" w:eastAsia="Arial" w:hAnsi="Arial"/>
          <w:sz w:val="20"/>
          <w:szCs w:val="20"/>
          <w:color w:val="auto"/>
        </w:rPr>
        <w:t>Long-lived assets consist of property, equipment and right-of-use (“ROU”)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the consolidated statements of operations when estimated undiscounted future cash flows expected to result from the use of an asset group are less than its carrying amount. The impairment loss would be based on the excess of the carrying value of the impaired asset group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2240" w:h="15840" w:orient="portrait"/>
          <w:cols w:equalWidth="0" w:num="1">
            <w:col w:w="9360"/>
          </w:cols>
          <w:pgMar w:left="1440" w:top="1416" w:right="1440" w:bottom="393" w:gutter="0" w:footer="0" w:header="0"/>
        </w:sectPr>
      </w:pPr>
    </w:p>
    <w:bookmarkStart w:id="113" w:name="page114"/>
    <w:bookmarkEnd w:id="113"/>
    <w:p>
      <w:pPr>
        <w:ind w:left="580" w:right="260"/>
        <w:spacing w:after="0" w:line="310" w:lineRule="auto"/>
        <w:rPr>
          <w:sz w:val="20"/>
          <w:szCs w:val="20"/>
          <w:color w:val="auto"/>
        </w:rPr>
      </w:pPr>
      <w:r>
        <w:rPr>
          <w:rFonts w:ascii="Arial" w:cs="Arial" w:eastAsia="Arial" w:hAnsi="Arial"/>
          <w:sz w:val="19"/>
          <w:szCs w:val="19"/>
          <w:color w:val="auto"/>
        </w:rPr>
        <w:t>over its fair value, determined based on discounted cash flows. The Company did not record any impairment losses on long-lived assets during the years ended December 31, 2025 and 2024.</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Fair Value Measurements</w:t>
      </w:r>
    </w:p>
    <w:p>
      <w:pPr>
        <w:spacing w:after="0" w:line="244" w:lineRule="exact"/>
        <w:rPr>
          <w:sz w:val="20"/>
          <w:szCs w:val="20"/>
          <w:color w:val="auto"/>
        </w:rPr>
      </w:pPr>
    </w:p>
    <w:p>
      <w:pPr>
        <w:ind w:left="580" w:right="180"/>
        <w:spacing w:after="0" w:line="246" w:lineRule="auto"/>
        <w:rPr>
          <w:sz w:val="20"/>
          <w:szCs w:val="20"/>
          <w:color w:val="auto"/>
        </w:rPr>
      </w:pPr>
      <w:r>
        <w:rPr>
          <w:rFonts w:ascii="Arial" w:cs="Arial" w:eastAsia="Arial" w:hAnsi="Arial"/>
          <w:sz w:val="20"/>
          <w:szCs w:val="20"/>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08" w:lineRule="exact"/>
        <w:rPr>
          <w:sz w:val="20"/>
          <w:szCs w:val="20"/>
          <w:color w:val="auto"/>
        </w:rPr>
      </w:pPr>
    </w:p>
    <w:p>
      <w:pPr>
        <w:ind w:left="1160" w:hanging="584"/>
        <w:spacing w:after="0"/>
        <w:tabs>
          <w:tab w:leader="none" w:pos="11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Level 1 – Quoted prices in active markets for identical assets or liabilities.</w:t>
      </w:r>
    </w:p>
    <w:p>
      <w:pPr>
        <w:spacing w:after="0" w:line="254" w:lineRule="exact"/>
        <w:rPr>
          <w:rFonts w:ascii="Arial" w:cs="Arial" w:eastAsia="Arial" w:hAnsi="Arial"/>
          <w:sz w:val="20"/>
          <w:szCs w:val="20"/>
          <w:color w:val="auto"/>
        </w:rPr>
      </w:pPr>
    </w:p>
    <w:p>
      <w:pPr>
        <w:ind w:left="1160" w:right="100" w:hanging="584"/>
        <w:spacing w:after="0" w:line="253" w:lineRule="auto"/>
        <w:tabs>
          <w:tab w:leader="none" w:pos="11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Level 2 – Observable inputs (other than Level 1 quoted prices), such as quoted prices in active markets for similar assets or liabilities, quoted prices in markets that are not active for identical or similar assets and liabilities, or other inputs that are observable or can be corroborated by observable market data.</w:t>
      </w:r>
    </w:p>
    <w:p>
      <w:pPr>
        <w:spacing w:after="0" w:line="201" w:lineRule="exact"/>
        <w:rPr>
          <w:rFonts w:ascii="Arial" w:cs="Arial" w:eastAsia="Arial" w:hAnsi="Arial"/>
          <w:sz w:val="20"/>
          <w:szCs w:val="20"/>
          <w:color w:val="auto"/>
        </w:rPr>
      </w:pPr>
    </w:p>
    <w:p>
      <w:pPr>
        <w:jc w:val="both"/>
        <w:ind w:left="1160" w:right="200" w:hanging="584"/>
        <w:spacing w:after="0" w:line="262" w:lineRule="auto"/>
        <w:tabs>
          <w:tab w:leader="none" w:pos="11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8" w:lineRule="exact"/>
        <w:rPr>
          <w:sz w:val="20"/>
          <w:szCs w:val="20"/>
          <w:color w:val="auto"/>
        </w:rPr>
      </w:pPr>
    </w:p>
    <w:p>
      <w:pPr>
        <w:ind w:left="580" w:right="260"/>
        <w:spacing w:after="0" w:line="267" w:lineRule="auto"/>
        <w:rPr>
          <w:sz w:val="20"/>
          <w:szCs w:val="20"/>
          <w:color w:val="auto"/>
        </w:rPr>
      </w:pPr>
      <w:r>
        <w:rPr>
          <w:rFonts w:ascii="Arial" w:cs="Arial" w:eastAsia="Arial" w:hAnsi="Arial"/>
          <w:sz w:val="19"/>
          <w:szCs w:val="19"/>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4" w:lineRule="exact"/>
        <w:rPr>
          <w:sz w:val="20"/>
          <w:szCs w:val="20"/>
          <w:color w:val="auto"/>
        </w:rPr>
      </w:pPr>
    </w:p>
    <w:p>
      <w:pPr>
        <w:ind w:left="580" w:right="220"/>
        <w:spacing w:after="0" w:line="261" w:lineRule="auto"/>
        <w:rPr>
          <w:sz w:val="20"/>
          <w:szCs w:val="20"/>
          <w:color w:val="auto"/>
        </w:rPr>
      </w:pPr>
      <w:r>
        <w:rPr>
          <w:rFonts w:ascii="Arial" w:cs="Arial" w:eastAsia="Arial" w:hAnsi="Arial"/>
          <w:sz w:val="20"/>
          <w:szCs w:val="20"/>
          <w:color w:val="auto"/>
        </w:rPr>
        <w:t>An entity may choose to measure many financial instruments and certain other items at fair value at specified election dates. Subsequent unrealized gains and losses on items for which the fair value option has been elected are reported in earnings.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Research and Development Costs</w:t>
      </w:r>
    </w:p>
    <w:p>
      <w:pPr>
        <w:spacing w:after="0" w:line="244" w:lineRule="exact"/>
        <w:rPr>
          <w:sz w:val="20"/>
          <w:szCs w:val="20"/>
          <w:color w:val="auto"/>
        </w:rPr>
      </w:pPr>
    </w:p>
    <w:p>
      <w:pPr>
        <w:ind w:left="580" w:right="80"/>
        <w:spacing w:after="0" w:line="245" w:lineRule="auto"/>
        <w:rPr>
          <w:sz w:val="20"/>
          <w:szCs w:val="20"/>
          <w:color w:val="auto"/>
        </w:rPr>
      </w:pPr>
      <w:r>
        <w:rPr>
          <w:rFonts w:ascii="Arial" w:cs="Arial" w:eastAsia="Arial" w:hAnsi="Arial"/>
          <w:sz w:val="20"/>
          <w:szCs w:val="20"/>
          <w:color w:val="auto"/>
        </w:rPr>
        <w:t>Costs associated with internal research and development and external research and development services, including drug development and preclinical studies, are expensed as incurred. Research and development expenses include costs for salaries, employee benefits, subcontractors, facility-related expenses, depreciation and amortization, stock -based compensation, third-party license fees, laboratory supplies, and external costs of outside vendors engaged to conduct discovery, preclinical and clinical development activities and clinical trials as well as to manufacture clinical trial materials and other costs. The Company recognizes external research and development costs based on an evaluation of the progress of specific tasks using information provided to the Company by its service providers.</w:t>
      </w:r>
    </w:p>
    <w:p>
      <w:pPr>
        <w:spacing w:after="0" w:line="196" w:lineRule="exact"/>
        <w:rPr>
          <w:sz w:val="20"/>
          <w:szCs w:val="20"/>
          <w:color w:val="auto"/>
        </w:rPr>
      </w:pPr>
    </w:p>
    <w:p>
      <w:pPr>
        <w:ind w:left="580" w:right="220"/>
        <w:spacing w:after="0" w:line="251" w:lineRule="auto"/>
        <w:rPr>
          <w:sz w:val="20"/>
          <w:szCs w:val="20"/>
          <w:color w:val="auto"/>
        </w:rPr>
      </w:pPr>
      <w:r>
        <w:rPr>
          <w:rFonts w:ascii="Arial" w:cs="Arial" w:eastAsia="Arial" w:hAnsi="Arial"/>
          <w:sz w:val="20"/>
          <w:szCs w:val="20"/>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2240" w:h="15840" w:orient="portrait"/>
          <w:cols w:equalWidth="0" w:num="1">
            <w:col w:w="9360"/>
          </w:cols>
          <w:pgMar w:left="1440" w:top="1420" w:right="1440" w:bottom="393" w:gutter="0" w:footer="0" w:header="0"/>
        </w:sectPr>
      </w:pPr>
    </w:p>
    <w:bookmarkStart w:id="114" w:name="page115"/>
    <w:bookmarkEnd w:id="114"/>
    <w:p>
      <w:pPr>
        <w:ind w:left="580" w:right="200"/>
        <w:spacing w:after="0" w:line="280" w:lineRule="auto"/>
        <w:rPr>
          <w:sz w:val="20"/>
          <w:szCs w:val="20"/>
          <w:color w:val="auto"/>
        </w:rPr>
      </w:pPr>
      <w:r>
        <w:rPr>
          <w:rFonts w:ascii="Arial" w:cs="Arial" w:eastAsia="Arial" w:hAnsi="Arial"/>
          <w:sz w:val="19"/>
          <w:szCs w:val="19"/>
          <w:color w:val="auto"/>
        </w:rPr>
        <w:t>Costs associated with licenses of technology acquired as part of collaborative arrangements are expensed as incurred and are generally included in research and development expense in the consolidated statements of operations if it is determined the license has no alternative future use.</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Accrued Research and Development Expenses</w:t>
      </w:r>
    </w:p>
    <w:p>
      <w:pPr>
        <w:spacing w:after="0" w:line="244" w:lineRule="exact"/>
        <w:rPr>
          <w:sz w:val="20"/>
          <w:szCs w:val="20"/>
          <w:color w:val="auto"/>
        </w:rPr>
      </w:pPr>
    </w:p>
    <w:p>
      <w:pPr>
        <w:ind w:left="580" w:right="80"/>
        <w:spacing w:after="0" w:line="244" w:lineRule="auto"/>
        <w:rPr>
          <w:sz w:val="20"/>
          <w:szCs w:val="20"/>
          <w:color w:val="auto"/>
        </w:rPr>
      </w:pPr>
      <w:r>
        <w:rPr>
          <w:rFonts w:ascii="Arial" w:cs="Arial" w:eastAsia="Arial" w:hAnsi="Arial"/>
          <w:sz w:val="20"/>
          <w:szCs w:val="20"/>
          <w:color w:val="auto"/>
        </w:rPr>
        <w:t>The Company has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Significant judgments and estimates are made to determine the accrued balances at the end of any reporting period. Actual results could differ materially from the Company’s estimates. The Company’s historical accrual estimates have not been materially different from the actual costs.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Patent Costs</w:t>
      </w:r>
    </w:p>
    <w:p>
      <w:pPr>
        <w:spacing w:after="0" w:line="244" w:lineRule="exact"/>
        <w:rPr>
          <w:sz w:val="20"/>
          <w:szCs w:val="20"/>
          <w:color w:val="auto"/>
        </w:rPr>
      </w:pPr>
    </w:p>
    <w:p>
      <w:pPr>
        <w:ind w:left="580" w:right="320"/>
        <w:spacing w:after="0" w:line="254" w:lineRule="auto"/>
        <w:rPr>
          <w:sz w:val="20"/>
          <w:szCs w:val="20"/>
          <w:color w:val="auto"/>
        </w:rPr>
      </w:pPr>
      <w:r>
        <w:rPr>
          <w:rFonts w:ascii="Arial" w:cs="Arial" w:eastAsia="Arial" w:hAnsi="Arial"/>
          <w:sz w:val="20"/>
          <w:szCs w:val="20"/>
          <w:color w:val="auto"/>
        </w:rPr>
        <w:t>All patent- related costs incurred in connection with filing and prosecuting patent applications are expensed as incurred due to the uncertainty about the recovery of the expenditure. Amounts incurred are classified as general and administrative expense in the consolidated statements of operations.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Stock-Based Compensation</w:t>
      </w:r>
    </w:p>
    <w:p>
      <w:pPr>
        <w:spacing w:after="0" w:line="242" w:lineRule="exact"/>
        <w:rPr>
          <w:sz w:val="20"/>
          <w:szCs w:val="20"/>
          <w:color w:val="auto"/>
        </w:rPr>
      </w:pPr>
    </w:p>
    <w:p>
      <w:pPr>
        <w:ind w:left="580" w:right="20"/>
        <w:spacing w:after="0" w:line="272" w:lineRule="auto"/>
        <w:rPr>
          <w:sz w:val="20"/>
          <w:szCs w:val="20"/>
          <w:color w:val="auto"/>
        </w:rPr>
      </w:pPr>
      <w:r>
        <w:rPr>
          <w:rFonts w:ascii="Arial" w:cs="Arial" w:eastAsia="Arial" w:hAnsi="Arial"/>
          <w:sz w:val="19"/>
          <w:szCs w:val="19"/>
          <w:color w:val="auto"/>
        </w:rPr>
        <w:t>The Company recognizes the grant-date fair value of stock-based awards issued to employees and nonemployee board members as compensation expense on a straight-line basis over the service period of the award. The Company uses the Black-Scholes option pricing model to determine the grant-date fair value of stock options and adjusts expense for forfeitures in the periods they occur.</w:t>
      </w:r>
    </w:p>
    <w:p>
      <w:pPr>
        <w:spacing w:after="0" w:line="171" w:lineRule="exact"/>
        <w:rPr>
          <w:sz w:val="20"/>
          <w:szCs w:val="20"/>
          <w:color w:val="auto"/>
        </w:rPr>
      </w:pPr>
    </w:p>
    <w:p>
      <w:pPr>
        <w:jc w:val="both"/>
        <w:ind w:left="580" w:right="260"/>
        <w:spacing w:after="0" w:line="260" w:lineRule="auto"/>
        <w:rPr>
          <w:sz w:val="20"/>
          <w:szCs w:val="20"/>
          <w:color w:val="auto"/>
        </w:rPr>
      </w:pPr>
      <w:r>
        <w:rPr>
          <w:rFonts w:ascii="Arial" w:cs="Arial" w:eastAsia="Arial" w:hAnsi="Arial"/>
          <w:sz w:val="20"/>
          <w:szCs w:val="20"/>
          <w:color w:val="auto"/>
        </w:rPr>
        <w:t>The fair value of each equity award was determined by the Company on the date of grant and by using the methods and assumptions discussed below. Certain of these inputs are subjective and generally require judgment to determine.</w:t>
      </w:r>
    </w:p>
    <w:p>
      <w:pPr>
        <w:spacing w:after="0" w:line="181" w:lineRule="exact"/>
        <w:rPr>
          <w:sz w:val="20"/>
          <w:szCs w:val="20"/>
          <w:color w:val="auto"/>
        </w:rPr>
      </w:pPr>
    </w:p>
    <w:p>
      <w:pPr>
        <w:ind w:left="580" w:right="60"/>
        <w:spacing w:after="0" w:line="250" w:lineRule="auto"/>
        <w:rPr>
          <w:sz w:val="20"/>
          <w:szCs w:val="20"/>
          <w:color w:val="auto"/>
        </w:rPr>
      </w:pPr>
      <w:r>
        <w:rPr>
          <w:rFonts w:ascii="Arial" w:cs="Arial" w:eastAsia="Arial" w:hAnsi="Arial"/>
          <w:sz w:val="20"/>
          <w:szCs w:val="20"/>
          <w:i w:val="1"/>
          <w:iCs w:val="1"/>
          <w:color w:val="auto"/>
        </w:rPr>
        <w:t xml:space="preserve">Stock price: </w:t>
      </w:r>
      <w:r>
        <w:rPr>
          <w:rFonts w:ascii="Arial" w:cs="Arial" w:eastAsia="Arial" w:hAnsi="Arial"/>
          <w:sz w:val="20"/>
          <w:szCs w:val="20"/>
          <w:color w:val="auto"/>
        </w:rPr>
        <w:t>The stock price used to value equity awards is based on the closing price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common stock as reported on the date of the grant. For equity awards issued after June 2020 until the Company started trading on a public market in the second quarter of 2021, the valuation of the Company’s common stock was $5.00 per share, which was the share price paid by outside investors in the Company’s Private Placement in June 2020.</w:t>
      </w:r>
    </w:p>
    <w:p>
      <w:pPr>
        <w:spacing w:after="0" w:line="192" w:lineRule="exact"/>
        <w:rPr>
          <w:sz w:val="20"/>
          <w:szCs w:val="20"/>
          <w:color w:val="auto"/>
        </w:rPr>
      </w:pPr>
    </w:p>
    <w:p>
      <w:pPr>
        <w:ind w:left="580" w:right="60"/>
        <w:spacing w:after="0" w:line="272" w:lineRule="auto"/>
        <w:rPr>
          <w:sz w:val="20"/>
          <w:szCs w:val="20"/>
          <w:color w:val="auto"/>
        </w:rPr>
      </w:pPr>
      <w:r>
        <w:rPr>
          <w:rFonts w:ascii="Arial" w:cs="Arial" w:eastAsia="Arial" w:hAnsi="Arial"/>
          <w:sz w:val="19"/>
          <w:szCs w:val="19"/>
          <w:i w:val="1"/>
          <w:iCs w:val="1"/>
          <w:color w:val="auto"/>
        </w:rPr>
        <w:t>Expected term</w:t>
      </w:r>
      <w:r>
        <w:rPr>
          <w:rFonts w:ascii="Arial" w:cs="Arial" w:eastAsia="Arial" w:hAnsi="Arial"/>
          <w:sz w:val="19"/>
          <w:szCs w:val="19"/>
          <w:color w:val="auto"/>
        </w:rPr>
        <w:t>: The expected term of the equity award represents the weighted average period the</w:t>
      </w:r>
      <w:r>
        <w:rPr>
          <w:rFonts w:ascii="Arial" w:cs="Arial" w:eastAsia="Arial" w:hAnsi="Arial"/>
          <w:sz w:val="19"/>
          <w:szCs w:val="19"/>
          <w:i w:val="1"/>
          <w:iCs w:val="1"/>
          <w:color w:val="auto"/>
        </w:rPr>
        <w:t xml:space="preserve"> </w:t>
      </w:r>
      <w:r>
        <w:rPr>
          <w:rFonts w:ascii="Arial" w:cs="Arial" w:eastAsia="Arial" w:hAnsi="Arial"/>
          <w:sz w:val="19"/>
          <w:szCs w:val="19"/>
          <w:color w:val="auto"/>
        </w:rPr>
        <w:t>award is expected to be outstanding. The Company uses the simplified method for estimating the expected term as provided by the Securities and Exchange Commission. The simplified method calculates the expected term as the average time to vesting and the contractual life of the award.</w:t>
      </w:r>
    </w:p>
    <w:p>
      <w:pPr>
        <w:spacing w:after="0" w:line="171" w:lineRule="exact"/>
        <w:rPr>
          <w:sz w:val="20"/>
          <w:szCs w:val="20"/>
          <w:color w:val="auto"/>
        </w:rPr>
      </w:pPr>
    </w:p>
    <w:p>
      <w:pPr>
        <w:ind w:left="580" w:right="440"/>
        <w:spacing w:after="0" w:line="280" w:lineRule="auto"/>
        <w:rPr>
          <w:sz w:val="20"/>
          <w:szCs w:val="20"/>
          <w:color w:val="auto"/>
        </w:rPr>
      </w:pPr>
      <w:r>
        <w:rPr>
          <w:rFonts w:ascii="Arial" w:cs="Arial" w:eastAsia="Arial" w:hAnsi="Arial"/>
          <w:sz w:val="20"/>
          <w:szCs w:val="20"/>
          <w:i w:val="1"/>
          <w:iCs w:val="1"/>
          <w:color w:val="auto"/>
        </w:rPr>
        <w:t xml:space="preserve">Expected volatility </w:t>
      </w:r>
      <w:r>
        <w:rPr>
          <w:rFonts w:ascii="Arial" w:cs="Arial" w:eastAsia="Arial" w:hAnsi="Arial"/>
          <w:sz w:val="20"/>
          <w:szCs w:val="20"/>
          <w:color w:val="auto"/>
        </w:rPr>
        <w:t>– The expected volatility is calculated based on the historical volatility of our</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over the expected term of the option.</w:t>
      </w:r>
    </w:p>
    <w:p>
      <w:pPr>
        <w:spacing w:after="0" w:line="162" w:lineRule="exact"/>
        <w:rPr>
          <w:sz w:val="20"/>
          <w:szCs w:val="20"/>
          <w:color w:val="auto"/>
        </w:rPr>
      </w:pPr>
    </w:p>
    <w:p>
      <w:pPr>
        <w:ind w:left="580" w:right="200"/>
        <w:spacing w:after="0" w:line="282" w:lineRule="auto"/>
        <w:rPr>
          <w:sz w:val="20"/>
          <w:szCs w:val="20"/>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 The risk-free rate assumption is based on U.S. Treasury instruments,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terms of which were consistent with the expected term of the Company’s equity award.</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20"/>
          <w:szCs w:val="20"/>
          <w:i w:val="1"/>
          <w:iCs w:val="1"/>
          <w:color w:val="auto"/>
        </w:rPr>
        <w:t xml:space="preserve">Expected dividend </w:t>
      </w:r>
      <w:r>
        <w:rPr>
          <w:rFonts w:ascii="Arial" w:cs="Arial" w:eastAsia="Arial" w:hAnsi="Arial"/>
          <w:sz w:val="20"/>
          <w:szCs w:val="20"/>
          <w:color w:val="auto"/>
        </w:rPr>
        <w:t>– The Company has not paid and does not intend to pay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2240" w:h="15840" w:orient="portrait"/>
          <w:cols w:equalWidth="0" w:num="1">
            <w:col w:w="9360"/>
          </w:cols>
          <w:pgMar w:left="1440" w:top="1420" w:right="1440" w:bottom="393" w:gutter="0" w:footer="0" w:header="0"/>
        </w:sectPr>
      </w:pPr>
    </w:p>
    <w:bookmarkStart w:id="115" w:name="page116"/>
    <w:bookmarkEnd w:id="115"/>
    <w:p>
      <w:pPr>
        <w:ind w:left="580"/>
        <w:spacing w:after="0"/>
        <w:rPr>
          <w:sz w:val="20"/>
          <w:szCs w:val="20"/>
          <w:color w:val="auto"/>
        </w:rPr>
      </w:pPr>
      <w:r>
        <w:rPr>
          <w:rFonts w:ascii="Arial" w:cs="Arial" w:eastAsia="Arial" w:hAnsi="Arial"/>
          <w:sz w:val="20"/>
          <w:szCs w:val="20"/>
          <w:b w:val="1"/>
          <w:bCs w:val="1"/>
          <w:color w:val="auto"/>
        </w:rPr>
        <w:t>Net Loss per Share</w:t>
      </w:r>
    </w:p>
    <w:p>
      <w:pPr>
        <w:spacing w:after="0" w:line="244" w:lineRule="exact"/>
        <w:rPr>
          <w:sz w:val="20"/>
          <w:szCs w:val="20"/>
          <w:color w:val="auto"/>
        </w:rPr>
      </w:pPr>
    </w:p>
    <w:p>
      <w:pPr>
        <w:ind w:left="580" w:right="40"/>
        <w:spacing w:after="0" w:line="245" w:lineRule="auto"/>
        <w:rPr>
          <w:sz w:val="20"/>
          <w:szCs w:val="20"/>
          <w:color w:val="auto"/>
        </w:rPr>
      </w:pPr>
      <w:r>
        <w:rPr>
          <w:rFonts w:ascii="Arial" w:cs="Arial" w:eastAsia="Arial" w:hAnsi="Arial"/>
          <w:sz w:val="20"/>
          <w:szCs w:val="20"/>
          <w:color w:val="auto"/>
        </w:rPr>
        <w:t>Basic loss per share is computed by dividing net loss by the weighted average number of shares of common stock outstanding during each period. Diluted loss per share includes the effect, if any, from the potential exercise or conversion of securities, such as convertible preferred stock, stock options, restricted stock units, unvested restricted stock awards and common stock warrants that would result in the issuance of incremental shares of common stock. In computing the basic and diluted net loss per share, the weighted average number of shares remains the same for both calculations due to the fact that when a net loss exists, dilutive shares are not included in the calculation as the impact is anti-dilutive.</w:t>
      </w:r>
    </w:p>
    <w:p>
      <w:pPr>
        <w:spacing w:after="0" w:line="201" w:lineRule="exact"/>
        <w:rPr>
          <w:sz w:val="20"/>
          <w:szCs w:val="20"/>
          <w:color w:val="auto"/>
        </w:rPr>
      </w:pPr>
    </w:p>
    <w:p>
      <w:pPr>
        <w:ind w:left="580" w:right="300"/>
        <w:spacing w:after="0" w:line="254" w:lineRule="auto"/>
        <w:rPr>
          <w:sz w:val="20"/>
          <w:szCs w:val="20"/>
          <w:color w:val="auto"/>
        </w:rPr>
      </w:pPr>
      <w:r>
        <w:rPr>
          <w:rFonts w:ascii="Arial" w:cs="Arial" w:eastAsia="Arial" w:hAnsi="Arial"/>
          <w:sz w:val="20"/>
          <w:szCs w:val="20"/>
          <w:color w:val="auto"/>
        </w:rPr>
        <w:t>The following potentially dilutive securities outstanding as of December 31, 2025 and 2024 have been excluded from the computation of diluted weighted average shares outstanding, as they would be anti-dilutive:</w:t>
      </w:r>
    </w:p>
    <w:tbl>
      <w:tblPr>
        <w:tblLayout w:type="fixed"/>
        <w:tblInd w:w="56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2440" w:type="dxa"/>
            <w:vAlign w:val="bottom"/>
            <w:tcBorders>
              <w:bottom w:val="single" w:sz="8" w:color="auto"/>
            </w:tcBorders>
            <w:gridSpan w:val="3"/>
          </w:tcPr>
          <w:p>
            <w:pPr>
              <w:jc w:val="center"/>
              <w:ind w:left="1071"/>
              <w:spacing w:after="0" w:line="178" w:lineRule="exact"/>
              <w:rPr>
                <w:sz w:val="20"/>
                <w:szCs w:val="20"/>
                <w:color w:val="auto"/>
              </w:rPr>
            </w:pPr>
            <w:r>
              <w:rPr>
                <w:rFonts w:ascii="Arial" w:cs="Arial" w:eastAsia="Arial" w:hAnsi="Arial"/>
                <w:sz w:val="16"/>
                <w:szCs w:val="16"/>
                <w:b w:val="1"/>
                <w:bCs w:val="1"/>
                <w:color w:val="auto"/>
                <w:w w:val="99"/>
              </w:rPr>
              <w:t>December 31,</w:t>
            </w:r>
          </w:p>
        </w:tc>
        <w:tc>
          <w:tcPr>
            <w:tcW w:w="1160" w:type="dxa"/>
            <w:vAlign w:val="bottom"/>
            <w:tcBorders>
              <w:bottom w:val="single" w:sz="8" w:color="auto"/>
            </w:tcBorders>
          </w:tcPr>
          <w:p>
            <w:pPr>
              <w:spacing w:after="0"/>
              <w:rPr>
                <w:sz w:val="15"/>
                <w:szCs w:val="15"/>
                <w:color w:val="auto"/>
              </w:rPr>
            </w:pPr>
          </w:p>
        </w:tc>
      </w:tr>
      <w:tr>
        <w:trPr>
          <w:trHeight w:val="189"/>
        </w:trPr>
        <w:tc>
          <w:tcPr>
            <w:tcW w:w="2720" w:type="dxa"/>
            <w:vAlign w:val="bottom"/>
          </w:tcPr>
          <w:p>
            <w:pPr>
              <w:spacing w:after="0"/>
              <w:rPr>
                <w:sz w:val="16"/>
                <w:szCs w:val="16"/>
                <w:color w:val="auto"/>
              </w:rPr>
            </w:pPr>
          </w:p>
        </w:tc>
        <w:tc>
          <w:tcPr>
            <w:tcW w:w="17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6"/>
                <w:szCs w:val="16"/>
                <w:b w:val="1"/>
                <w:bCs w:val="1"/>
                <w:color w:val="auto"/>
              </w:rPr>
              <w:t>2024</w:t>
            </w:r>
          </w:p>
        </w:tc>
      </w:tr>
      <w:tr>
        <w:trPr>
          <w:trHeight w:val="201"/>
        </w:trPr>
        <w:tc>
          <w:tcPr>
            <w:tcW w:w="2720" w:type="dxa"/>
            <w:vAlign w:val="bottom"/>
          </w:tcPr>
          <w:p>
            <w:pPr>
              <w:spacing w:after="0"/>
              <w:rPr>
                <w:sz w:val="17"/>
                <w:szCs w:val="17"/>
                <w:color w:val="auto"/>
              </w:rPr>
            </w:pPr>
          </w:p>
        </w:tc>
        <w:tc>
          <w:tcPr>
            <w:tcW w:w="2440" w:type="dxa"/>
            <w:vAlign w:val="bottom"/>
            <w:gridSpan w:val="3"/>
          </w:tcPr>
          <w:p>
            <w:pPr>
              <w:jc w:val="center"/>
              <w:ind w:left="1091"/>
              <w:spacing w:after="0"/>
              <w:rPr>
                <w:sz w:val="20"/>
                <w:szCs w:val="20"/>
                <w:color w:val="auto"/>
              </w:rPr>
            </w:pPr>
            <w:r>
              <w:rPr>
                <w:rFonts w:ascii="Arial" w:cs="Arial" w:eastAsia="Arial" w:hAnsi="Arial"/>
                <w:sz w:val="16"/>
                <w:szCs w:val="16"/>
                <w:b w:val="1"/>
                <w:bCs w:val="1"/>
                <w:color w:val="auto"/>
                <w:w w:val="99"/>
              </w:rPr>
              <w:t>(000's)</w:t>
            </w:r>
          </w:p>
        </w:tc>
        <w:tc>
          <w:tcPr>
            <w:tcW w:w="1160" w:type="dxa"/>
            <w:vAlign w:val="bottom"/>
          </w:tcPr>
          <w:p>
            <w:pPr>
              <w:spacing w:after="0"/>
              <w:rPr>
                <w:sz w:val="17"/>
                <w:szCs w:val="17"/>
                <w:color w:val="auto"/>
              </w:rPr>
            </w:pPr>
          </w:p>
        </w:tc>
      </w:tr>
      <w:tr>
        <w:trPr>
          <w:trHeight w:val="246"/>
        </w:trPr>
        <w:tc>
          <w:tcPr>
            <w:tcW w:w="2720" w:type="dxa"/>
            <w:vAlign w:val="bottom"/>
          </w:tcPr>
          <w:p>
            <w:pPr>
              <w:ind w:left="20"/>
              <w:spacing w:after="0"/>
              <w:rPr>
                <w:sz w:val="20"/>
                <w:szCs w:val="20"/>
                <w:color w:val="auto"/>
              </w:rPr>
            </w:pPr>
            <w:r>
              <w:rPr>
                <w:rFonts w:ascii="Arial" w:cs="Arial" w:eastAsia="Arial" w:hAnsi="Arial"/>
                <w:sz w:val="20"/>
                <w:szCs w:val="20"/>
                <w:color w:val="auto"/>
              </w:rPr>
              <w:t>Restricted stock units</w:t>
            </w:r>
          </w:p>
        </w:tc>
        <w:tc>
          <w:tcPr>
            <w:tcW w:w="1720" w:type="dxa"/>
            <w:vAlign w:val="bottom"/>
          </w:tcPr>
          <w:p>
            <w:pPr>
              <w:jc w:val="right"/>
              <w:ind w:right="11"/>
              <w:spacing w:after="0"/>
              <w:rPr>
                <w:sz w:val="20"/>
                <w:szCs w:val="20"/>
                <w:color w:val="auto"/>
              </w:rPr>
            </w:pPr>
            <w:r>
              <w:rPr>
                <w:rFonts w:ascii="Arial" w:cs="Arial" w:eastAsia="Arial" w:hAnsi="Arial"/>
                <w:sz w:val="20"/>
                <w:szCs w:val="20"/>
                <w:color w:val="auto"/>
              </w:rPr>
              <w:t>1,028</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6"/>
              <w:spacing w:after="0"/>
              <w:rPr>
                <w:sz w:val="20"/>
                <w:szCs w:val="20"/>
                <w:color w:val="auto"/>
              </w:rPr>
            </w:pPr>
            <w:r>
              <w:rPr>
                <w:rFonts w:ascii="Arial" w:cs="Arial" w:eastAsia="Arial" w:hAnsi="Arial"/>
                <w:sz w:val="20"/>
                <w:szCs w:val="20"/>
                <w:color w:val="auto"/>
              </w:rPr>
              <w:t>3,766</w:t>
            </w:r>
          </w:p>
        </w:tc>
      </w:tr>
      <w:tr>
        <w:trPr>
          <w:trHeight w:val="258"/>
        </w:trPr>
        <w:tc>
          <w:tcPr>
            <w:tcW w:w="272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20"/>
                <w:szCs w:val="20"/>
                <w:color w:val="auto"/>
              </w:rPr>
              <w:t>Stock options</w:t>
            </w:r>
          </w:p>
        </w:tc>
        <w:tc>
          <w:tcPr>
            <w:tcW w:w="1720" w:type="dxa"/>
            <w:vAlign w:val="bottom"/>
            <w:tcBorders>
              <w:bottom w:val="single" w:sz="8" w:color="auto"/>
            </w:tcBorders>
            <w:shd w:val="clear" w:color="auto" w:fill="D4EFF3"/>
          </w:tcPr>
          <w:p>
            <w:pPr>
              <w:jc w:val="right"/>
              <w:ind w:right="11"/>
              <w:spacing w:after="0"/>
              <w:rPr>
                <w:sz w:val="20"/>
                <w:szCs w:val="20"/>
                <w:color w:val="auto"/>
              </w:rPr>
            </w:pPr>
            <w:r>
              <w:rPr>
                <w:rFonts w:ascii="Arial" w:cs="Arial" w:eastAsia="Arial" w:hAnsi="Arial"/>
                <w:sz w:val="20"/>
                <w:szCs w:val="20"/>
                <w:color w:val="auto"/>
              </w:rPr>
              <w:t>16,352</w:t>
            </w:r>
          </w:p>
        </w:tc>
        <w:tc>
          <w:tcPr>
            <w:tcW w:w="160" w:type="dxa"/>
            <w:vAlign w:val="bottom"/>
            <w:tcBorders>
              <w:bottom w:val="single" w:sz="8" w:color="D4EFF3"/>
            </w:tcBorders>
            <w:shd w:val="clear" w:color="auto" w:fill="D4EFF3"/>
          </w:tcPr>
          <w:p>
            <w:pPr>
              <w:spacing w:after="0"/>
              <w:rPr>
                <w:sz w:val="22"/>
                <w:szCs w:val="22"/>
                <w:color w:val="auto"/>
              </w:rPr>
            </w:pPr>
          </w:p>
        </w:tc>
        <w:tc>
          <w:tcPr>
            <w:tcW w:w="560" w:type="dxa"/>
            <w:vAlign w:val="bottom"/>
            <w:tcBorders>
              <w:bottom w:val="single" w:sz="8" w:color="auto"/>
            </w:tcBorders>
            <w:shd w:val="clear" w:color="auto" w:fill="D4EFF3"/>
          </w:tcPr>
          <w:p>
            <w:pPr>
              <w:spacing w:after="0"/>
              <w:rPr>
                <w:sz w:val="22"/>
                <w:szCs w:val="22"/>
                <w:color w:val="auto"/>
              </w:rPr>
            </w:pPr>
          </w:p>
        </w:tc>
        <w:tc>
          <w:tcPr>
            <w:tcW w:w="116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20"/>
                <w:szCs w:val="20"/>
                <w:color w:val="auto"/>
              </w:rPr>
              <w:t>14,062</w:t>
            </w:r>
          </w:p>
        </w:tc>
      </w:tr>
      <w:tr>
        <w:trPr>
          <w:trHeight w:val="228"/>
        </w:trPr>
        <w:tc>
          <w:tcPr>
            <w:tcW w:w="2720" w:type="dxa"/>
            <w:vAlign w:val="bottom"/>
          </w:tcPr>
          <w:p>
            <w:pPr>
              <w:ind w:left="320"/>
              <w:spacing w:after="0" w:line="208" w:lineRule="exact"/>
              <w:rPr>
                <w:sz w:val="20"/>
                <w:szCs w:val="20"/>
                <w:color w:val="auto"/>
              </w:rPr>
            </w:pPr>
            <w:r>
              <w:rPr>
                <w:rFonts w:ascii="Arial" w:cs="Arial" w:eastAsia="Arial" w:hAnsi="Arial"/>
                <w:sz w:val="20"/>
                <w:szCs w:val="20"/>
                <w:color w:val="auto"/>
              </w:rPr>
              <w:t>Total</w:t>
            </w:r>
          </w:p>
        </w:tc>
        <w:tc>
          <w:tcPr>
            <w:tcW w:w="1720" w:type="dxa"/>
            <w:vAlign w:val="bottom"/>
            <w:tcBorders>
              <w:bottom w:val="single" w:sz="8" w:color="auto"/>
            </w:tcBorders>
          </w:tcPr>
          <w:p>
            <w:pPr>
              <w:jc w:val="right"/>
              <w:ind w:right="11"/>
              <w:spacing w:after="0" w:line="208" w:lineRule="exact"/>
              <w:rPr>
                <w:sz w:val="20"/>
                <w:szCs w:val="20"/>
                <w:color w:val="auto"/>
              </w:rPr>
            </w:pPr>
            <w:r>
              <w:rPr>
                <w:rFonts w:ascii="Arial" w:cs="Arial" w:eastAsia="Arial" w:hAnsi="Arial"/>
                <w:sz w:val="20"/>
                <w:szCs w:val="20"/>
                <w:color w:val="auto"/>
              </w:rPr>
              <w:t>17,380</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
              <w:spacing w:after="0" w:line="208" w:lineRule="exact"/>
              <w:rPr>
                <w:sz w:val="20"/>
                <w:szCs w:val="20"/>
                <w:color w:val="auto"/>
              </w:rPr>
            </w:pPr>
            <w:r>
              <w:rPr>
                <w:rFonts w:ascii="Arial" w:cs="Arial" w:eastAsia="Arial" w:hAnsi="Arial"/>
                <w:sz w:val="20"/>
                <w:szCs w:val="20"/>
                <w:color w:val="auto"/>
              </w:rPr>
              <w:t>17,828</w:t>
            </w:r>
          </w:p>
        </w:tc>
      </w:tr>
    </w:tbl>
    <w:p>
      <w:pPr>
        <w:spacing w:after="0" w:line="127"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Income Taxes</w:t>
      </w:r>
    </w:p>
    <w:p>
      <w:pPr>
        <w:spacing w:after="0" w:line="242" w:lineRule="exact"/>
        <w:rPr>
          <w:sz w:val="20"/>
          <w:szCs w:val="20"/>
          <w:color w:val="auto"/>
        </w:rPr>
      </w:pPr>
    </w:p>
    <w:p>
      <w:pPr>
        <w:ind w:left="580" w:right="80"/>
        <w:spacing w:after="0" w:line="244" w:lineRule="auto"/>
        <w:rPr>
          <w:sz w:val="20"/>
          <w:szCs w:val="20"/>
          <w:color w:val="auto"/>
        </w:rPr>
      </w:pPr>
      <w:r>
        <w:rPr>
          <w:rFonts w:ascii="Arial" w:cs="Arial" w:eastAsia="Arial" w:hAnsi="Arial"/>
          <w:sz w:val="20"/>
          <w:szCs w:val="20"/>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Deferred tax assets are reduced, as necessary, by a valuation allowance when management determines it is more likely than not that some or all of the deferred tax benefits will not be realized.</w:t>
      </w:r>
    </w:p>
    <w:p>
      <w:pPr>
        <w:spacing w:after="0" w:line="204" w:lineRule="exact"/>
        <w:rPr>
          <w:sz w:val="20"/>
          <w:szCs w:val="20"/>
          <w:color w:val="auto"/>
        </w:rPr>
      </w:pPr>
    </w:p>
    <w:p>
      <w:pPr>
        <w:ind w:left="580" w:right="120"/>
        <w:spacing w:after="0" w:line="250" w:lineRule="auto"/>
        <w:rPr>
          <w:sz w:val="20"/>
          <w:szCs w:val="20"/>
          <w:color w:val="auto"/>
        </w:rPr>
      </w:pPr>
      <w:r>
        <w:rPr>
          <w:rFonts w:ascii="Arial" w:cs="Arial" w:eastAsia="Arial" w:hAnsi="Arial"/>
          <w:sz w:val="20"/>
          <w:szCs w:val="20"/>
          <w:color w:val="auto"/>
        </w:rPr>
        <w:t>The Company files income tax returns in the U.S. Federal jurisdiction and in various states. The Company has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New Accounting Pronouncements</w:t>
      </w:r>
    </w:p>
    <w:p>
      <w:pPr>
        <w:spacing w:after="0" w:line="242" w:lineRule="exact"/>
        <w:rPr>
          <w:sz w:val="20"/>
          <w:szCs w:val="20"/>
          <w:color w:val="auto"/>
        </w:rPr>
      </w:pPr>
    </w:p>
    <w:p>
      <w:pPr>
        <w:ind w:left="580" w:right="180"/>
        <w:spacing w:after="0" w:line="262" w:lineRule="auto"/>
        <w:rPr>
          <w:sz w:val="20"/>
          <w:szCs w:val="20"/>
          <w:color w:val="auto"/>
        </w:rPr>
      </w:pPr>
      <w:r>
        <w:rPr>
          <w:rFonts w:ascii="Arial" w:cs="Arial" w:eastAsia="Arial" w:hAnsi="Arial"/>
          <w:sz w:val="19"/>
          <w:szCs w:val="19"/>
          <w:color w:val="auto"/>
        </w:rPr>
        <w:t>In November 2024, the FASB issued Accounting Standards Update (“ASU”) No. 2024-03</w:t>
      </w:r>
      <w:r>
        <w:rPr>
          <w:rFonts w:ascii="Arial" w:cs="Arial" w:eastAsia="Arial" w:hAnsi="Arial"/>
          <w:sz w:val="19"/>
          <w:szCs w:val="19"/>
          <w:i w:val="1"/>
          <w:iCs w:val="1"/>
          <w:color w:val="auto"/>
        </w:rPr>
        <w:t>, Income</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 – Reporting Comprehensive Income – Expense Disaggregation Disclosures</w:t>
      </w:r>
      <w:r>
        <w:rPr>
          <w:rFonts w:ascii="Arial" w:cs="Arial" w:eastAsia="Arial" w:hAnsi="Arial"/>
          <w:sz w:val="19"/>
          <w:szCs w:val="19"/>
          <w:color w:val="auto"/>
        </w:rPr>
        <w:t>, which</w:t>
      </w:r>
      <w:r>
        <w:rPr>
          <w:rFonts w:ascii="Arial" w:cs="Arial" w:eastAsia="Arial" w:hAnsi="Arial"/>
          <w:sz w:val="19"/>
          <w:szCs w:val="19"/>
          <w:i w:val="1"/>
          <w:iCs w:val="1"/>
          <w:color w:val="auto"/>
        </w:rPr>
        <w:t xml:space="preserve"> </w:t>
      </w:r>
      <w:r>
        <w:rPr>
          <w:rFonts w:ascii="Arial" w:cs="Arial" w:eastAsia="Arial" w:hAnsi="Arial"/>
          <w:sz w:val="19"/>
          <w:szCs w:val="19"/>
          <w:color w:val="auto"/>
        </w:rPr>
        <w:t>amends existing income statement disclosure guidance, primarily requiring more detailed disclosure for expenses. The ASU is effective for annual reporting periods beginning after December 15, 2026, and interim periods within fiscal years beginning after December 15, 2027, with early adoption permitted. The amendments can be applied on either a prospective or retroactive basis. We are currently evaluating the ASU to determine its impact on our disclosures.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244" w:lineRule="exact"/>
        <w:rPr>
          <w:sz w:val="20"/>
          <w:szCs w:val="20"/>
          <w:color w:val="auto"/>
        </w:rPr>
      </w:pPr>
    </w:p>
    <w:p>
      <w:pPr>
        <w:ind w:left="580" w:right="480"/>
        <w:spacing w:after="0" w:line="271" w:lineRule="auto"/>
        <w:rPr>
          <w:sz w:val="20"/>
          <w:szCs w:val="20"/>
          <w:color w:val="auto"/>
        </w:rPr>
      </w:pPr>
      <w:r>
        <w:rPr>
          <w:rFonts w:ascii="Arial" w:cs="Arial" w:eastAsia="Arial" w:hAnsi="Arial"/>
          <w:sz w:val="19"/>
          <w:szCs w:val="19"/>
          <w:color w:val="auto"/>
        </w:rPr>
        <w:t>In December 2023, FASB issued ASU 2023-09, Income Taxes (Topic 740): Improvements to Income Tax Disclosures (ASU 2023-09) . The amendments in ASU 2023-09 are intended to enhance the transparency and decision usefulness of income tax disclosures through improvements to income tax disclosures primarily related to the rate reconciliation and income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2240" w:h="15840" w:orient="portrait"/>
          <w:cols w:equalWidth="0" w:num="1">
            <w:col w:w="9360"/>
          </w:cols>
          <w:pgMar w:left="1440" w:top="1416" w:right="1440" w:bottom="393" w:gutter="0" w:footer="0" w:header="0"/>
        </w:sectPr>
      </w:pPr>
    </w:p>
    <w:bookmarkStart w:id="116" w:name="page117"/>
    <w:bookmarkEnd w:id="116"/>
    <w:p>
      <w:pPr>
        <w:ind w:left="580" w:right="160"/>
        <w:spacing w:after="0" w:line="247" w:lineRule="auto"/>
        <w:rPr>
          <w:sz w:val="20"/>
          <w:szCs w:val="20"/>
          <w:color w:val="auto"/>
        </w:rPr>
      </w:pPr>
      <w:r>
        <w:rPr>
          <w:rFonts w:ascii="Arial" w:cs="Arial" w:eastAsia="Arial" w:hAnsi="Arial"/>
          <w:sz w:val="20"/>
          <w:szCs w:val="20"/>
          <w:color w:val="auto"/>
        </w:rPr>
        <w:t>taxes paid information. ASU 2023-09 is effective for annual periods beginning after December 15, 2024 for public entities, with early adoption permitted. The Company applied the amendments prospectively for the year ended December 31, 2025, and the impact of the adoption of the amendments in this update was not material to the Company’s consolidated financial position and results of operations for the year ended December 31, 2025, since the amendments require only enhancement of existing income tax disclosures in the footnotes to the Company’s consolidated financial statements. See Note 14 for additional disclosures.</w:t>
      </w:r>
    </w:p>
    <w:p>
      <w:pPr>
        <w:spacing w:after="0" w:line="194" w:lineRule="exact"/>
        <w:rPr>
          <w:sz w:val="20"/>
          <w:szCs w:val="20"/>
          <w:color w:val="auto"/>
        </w:rPr>
      </w:pPr>
    </w:p>
    <w:p>
      <w:pPr>
        <w:ind w:left="540" w:right="580"/>
        <w:spacing w:after="0" w:line="280" w:lineRule="auto"/>
        <w:rPr>
          <w:sz w:val="20"/>
          <w:szCs w:val="20"/>
          <w:color w:val="auto"/>
        </w:rPr>
      </w:pPr>
      <w:r>
        <w:rPr>
          <w:rFonts w:ascii="Arial" w:cs="Arial" w:eastAsia="Arial" w:hAnsi="Arial"/>
          <w:sz w:val="20"/>
          <w:szCs w:val="20"/>
          <w:color w:val="auto"/>
        </w:rPr>
        <w:t>There are no other pending accounting pronouncements that are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 w:hanging="489"/>
        <w:spacing w:after="0"/>
        <w:tabs>
          <w:tab w:leader="none" w:pos="54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44" w:lineRule="exact"/>
        <w:rPr>
          <w:sz w:val="20"/>
          <w:szCs w:val="20"/>
          <w:color w:val="auto"/>
        </w:rPr>
      </w:pPr>
    </w:p>
    <w:p>
      <w:pPr>
        <w:ind w:left="580" w:right="300"/>
        <w:spacing w:after="0" w:line="261" w:lineRule="auto"/>
        <w:rPr>
          <w:sz w:val="20"/>
          <w:szCs w:val="20"/>
          <w:color w:val="auto"/>
        </w:rPr>
      </w:pPr>
      <w:r>
        <w:rPr>
          <w:rFonts w:ascii="Arial" w:cs="Arial" w:eastAsia="Arial" w:hAnsi="Arial"/>
          <w:sz w:val="20"/>
          <w:szCs w:val="20"/>
          <w:color w:val="auto"/>
        </w:rPr>
        <w:t>The following tables present information about the Company’s financial assets and liabilities that are measured at fair value on a recurring basis and indicate the level of the fair value hierarchy utilized to determine such fair values:</w:t>
      </w:r>
    </w:p>
    <w:p>
      <w:pPr>
        <w:spacing w:after="0" w:line="237" w:lineRule="exact"/>
        <w:rPr>
          <w:sz w:val="20"/>
          <w:szCs w:val="20"/>
          <w:color w:val="auto"/>
        </w:rPr>
      </w:pPr>
    </w:p>
    <w:tbl>
      <w:tblPr>
        <w:tblLayout w:type="fixed"/>
        <w:tblInd w:w="620" w:type="dxa"/>
        <w:tblCellMar>
          <w:top w:w="0" w:type="dxa"/>
          <w:left w:w="0" w:type="dxa"/>
          <w:bottom w:w="0" w:type="dxa"/>
          <w:right w:w="0" w:type="dxa"/>
        </w:tblCellMar>
      </w:tblPr>
      <w:tr>
        <w:trPr>
          <w:trHeight w:val="156"/>
        </w:trPr>
        <w:tc>
          <w:tcPr>
            <w:tcW w:w="3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3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Measurements as of December 31, 2025 (000's):</w:t>
            </w:r>
          </w:p>
        </w:tc>
        <w:tc>
          <w:tcPr>
            <w:tcW w:w="1040" w:type="dxa"/>
            <w:vAlign w:val="bottom"/>
            <w:tcBorders>
              <w:bottom w:val="single" w:sz="8" w:color="auto"/>
            </w:tcBorders>
          </w:tcPr>
          <w:p>
            <w:pPr>
              <w:spacing w:after="0"/>
              <w:rPr>
                <w:sz w:val="13"/>
                <w:szCs w:val="13"/>
                <w:color w:val="auto"/>
              </w:rPr>
            </w:pPr>
          </w:p>
        </w:tc>
      </w:tr>
      <w:tr>
        <w:trPr>
          <w:trHeight w:val="160"/>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8"/>
              <w:spacing w:after="0"/>
              <w:rPr>
                <w:sz w:val="20"/>
                <w:szCs w:val="20"/>
                <w:color w:val="auto"/>
              </w:rPr>
            </w:pPr>
            <w:r>
              <w:rPr>
                <w:rFonts w:ascii="Arial" w:cs="Arial" w:eastAsia="Arial" w:hAnsi="Arial"/>
                <w:sz w:val="13"/>
                <w:szCs w:val="13"/>
                <w:b w:val="1"/>
                <w:bCs w:val="1"/>
                <w:color w:val="auto"/>
                <w:w w:val="97"/>
              </w:rPr>
              <w:t>Quoted Prices</w:t>
            </w:r>
          </w:p>
        </w:tc>
        <w:tc>
          <w:tcPr>
            <w:tcW w:w="240" w:type="dxa"/>
            <w:vAlign w:val="bottom"/>
          </w:tcPr>
          <w:p>
            <w:pPr>
              <w:spacing w:after="0"/>
              <w:rPr>
                <w:sz w:val="13"/>
                <w:szCs w:val="13"/>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Arial" w:cs="Arial" w:eastAsia="Arial" w:hAnsi="Arial"/>
                <w:sz w:val="13"/>
                <w:szCs w:val="13"/>
                <w:b w:val="1"/>
                <w:bCs w:val="1"/>
                <w:color w:val="auto"/>
                <w:w w:val="95"/>
              </w:rPr>
              <w:t>in Active</w:t>
            </w:r>
          </w:p>
        </w:tc>
        <w:tc>
          <w:tcPr>
            <w:tcW w:w="24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Arial" w:cs="Arial" w:eastAsia="Arial" w:hAnsi="Arial"/>
                <w:sz w:val="13"/>
                <w:szCs w:val="13"/>
                <w:b w:val="1"/>
                <w:bCs w:val="1"/>
                <w:color w:val="auto"/>
                <w:w w:val="96"/>
              </w:rPr>
              <w:t>Significant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Arial" w:cs="Arial" w:eastAsia="Arial" w:hAnsi="Arial"/>
                <w:sz w:val="13"/>
                <w:szCs w:val="13"/>
                <w:b w:val="1"/>
                <w:bCs w:val="1"/>
                <w:color w:val="auto"/>
                <w:w w:val="96"/>
              </w:rPr>
              <w:t>Markets for</w:t>
            </w:r>
          </w:p>
        </w:tc>
        <w:tc>
          <w:tcPr>
            <w:tcW w:w="24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Arial" w:cs="Arial" w:eastAsia="Arial" w:hAnsi="Arial"/>
                <w:sz w:val="13"/>
                <w:szCs w:val="13"/>
                <w:b w:val="1"/>
                <w:bCs w:val="1"/>
                <w:color w:val="auto"/>
                <w:w w:val="97"/>
              </w:rPr>
              <w:t>Unobservable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Arial" w:cs="Arial" w:eastAsia="Arial" w:hAnsi="Arial"/>
                <w:sz w:val="13"/>
                <w:szCs w:val="13"/>
                <w:b w:val="1"/>
                <w:bCs w:val="1"/>
                <w:color w:val="auto"/>
                <w:w w:val="96"/>
              </w:rPr>
              <w:t>Identical Assets</w:t>
            </w:r>
          </w:p>
        </w:tc>
        <w:tc>
          <w:tcPr>
            <w:tcW w:w="24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4"/>
                <w:szCs w:val="14"/>
                <w:color w:val="auto"/>
              </w:rPr>
            </w:pPr>
          </w:p>
        </w:tc>
        <w:tc>
          <w:tcPr>
            <w:tcW w:w="1120" w:type="dxa"/>
            <w:vAlign w:val="bottom"/>
          </w:tcPr>
          <w:p>
            <w:pPr>
              <w:jc w:val="center"/>
              <w:ind w:right="146"/>
              <w:spacing w:after="0"/>
              <w:rPr>
                <w:sz w:val="20"/>
                <w:szCs w:val="20"/>
                <w:color w:val="auto"/>
              </w:rPr>
            </w:pPr>
            <w:r>
              <w:rPr>
                <w:rFonts w:ascii="Arial" w:cs="Arial" w:eastAsia="Arial" w:hAnsi="Arial"/>
                <w:sz w:val="13"/>
                <w:szCs w:val="13"/>
                <w:b w:val="1"/>
                <w:bCs w:val="1"/>
                <w:color w:val="auto"/>
                <w:w w:val="97"/>
              </w:rPr>
              <w:t>Inputs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3020" w:type="dxa"/>
            <w:vAlign w:val="bottom"/>
            <w:tcBorders>
              <w:bottom w:val="single" w:sz="8" w:color="D4EFF3"/>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88"/>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8"/>
              </w:rPr>
              <w:t>(Level 3)</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Fair Value</w:t>
            </w:r>
          </w:p>
        </w:tc>
      </w:tr>
      <w:tr>
        <w:trPr>
          <w:trHeight w:val="206"/>
        </w:trPr>
        <w:tc>
          <w:tcPr>
            <w:tcW w:w="3020" w:type="dxa"/>
            <w:vAlign w:val="bottom"/>
            <w:shd w:val="clear" w:color="auto" w:fill="D4EFF3"/>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D4EFF3"/>
          </w:tcPr>
          <w:p>
            <w:pPr>
              <w:spacing w:after="0"/>
              <w:rPr>
                <w:sz w:val="17"/>
                <w:szCs w:val="17"/>
                <w:color w:val="auto"/>
              </w:rPr>
            </w:pPr>
          </w:p>
        </w:tc>
        <w:tc>
          <w:tcPr>
            <w:tcW w:w="130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1140" w:type="dxa"/>
            <w:vAlign w:val="bottom"/>
            <w:shd w:val="clear" w:color="auto" w:fill="D4EFF3"/>
          </w:tcPr>
          <w:p>
            <w:pPr>
              <w:spacing w:after="0"/>
              <w:rPr>
                <w:sz w:val="17"/>
                <w:szCs w:val="17"/>
                <w:color w:val="auto"/>
              </w:rPr>
            </w:pPr>
          </w:p>
        </w:tc>
        <w:tc>
          <w:tcPr>
            <w:tcW w:w="220" w:type="dxa"/>
            <w:vAlign w:val="bottom"/>
            <w:shd w:val="clear" w:color="auto" w:fill="D4EFF3"/>
          </w:tcPr>
          <w:p>
            <w:pPr>
              <w:spacing w:after="0"/>
              <w:rPr>
                <w:sz w:val="17"/>
                <w:szCs w:val="17"/>
                <w:color w:val="auto"/>
              </w:rPr>
            </w:pPr>
          </w:p>
        </w:tc>
        <w:tc>
          <w:tcPr>
            <w:tcW w:w="1120" w:type="dxa"/>
            <w:vAlign w:val="bottom"/>
            <w:shd w:val="clear" w:color="auto" w:fill="D4EFF3"/>
          </w:tcPr>
          <w:p>
            <w:pPr>
              <w:spacing w:after="0"/>
              <w:rPr>
                <w:sz w:val="17"/>
                <w:szCs w:val="17"/>
                <w:color w:val="auto"/>
              </w:rPr>
            </w:pPr>
          </w:p>
        </w:tc>
        <w:tc>
          <w:tcPr>
            <w:tcW w:w="340" w:type="dxa"/>
            <w:vAlign w:val="bottom"/>
            <w:shd w:val="clear" w:color="auto" w:fill="D4EFF3"/>
          </w:tcPr>
          <w:p>
            <w:pPr>
              <w:spacing w:after="0"/>
              <w:rPr>
                <w:sz w:val="17"/>
                <w:szCs w:val="17"/>
                <w:color w:val="auto"/>
              </w:rPr>
            </w:pPr>
          </w:p>
        </w:tc>
        <w:tc>
          <w:tcPr>
            <w:tcW w:w="1040" w:type="dxa"/>
            <w:vAlign w:val="bottom"/>
            <w:shd w:val="clear" w:color="auto" w:fill="D4EFF3"/>
          </w:tcPr>
          <w:p>
            <w:pPr>
              <w:spacing w:after="0"/>
              <w:rPr>
                <w:sz w:val="17"/>
                <w:szCs w:val="17"/>
                <w:color w:val="auto"/>
              </w:rPr>
            </w:pPr>
          </w:p>
        </w:tc>
      </w:tr>
      <w:tr>
        <w:trPr>
          <w:trHeight w:val="192"/>
        </w:trPr>
        <w:tc>
          <w:tcPr>
            <w:tcW w:w="302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7"/>
              <w:spacing w:after="0"/>
              <w:rPr>
                <w:sz w:val="20"/>
                <w:szCs w:val="20"/>
                <w:color w:val="auto"/>
              </w:rPr>
            </w:pPr>
            <w:r>
              <w:rPr>
                <w:rFonts w:ascii="Arial" w:cs="Arial" w:eastAsia="Arial" w:hAnsi="Arial"/>
                <w:sz w:val="16"/>
                <w:szCs w:val="16"/>
                <w:color w:val="auto"/>
              </w:rPr>
              <w:t>86,636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86,636</w:t>
            </w:r>
          </w:p>
        </w:tc>
      </w:tr>
      <w:tr>
        <w:trPr>
          <w:trHeight w:val="208"/>
        </w:trPr>
        <w:tc>
          <w:tcPr>
            <w:tcW w:w="3020" w:type="dxa"/>
            <w:vAlign w:val="bottom"/>
            <w:shd w:val="clear" w:color="auto" w:fill="D4EFF3"/>
          </w:tcPr>
          <w:p>
            <w:pPr>
              <w:ind w:left="20"/>
              <w:spacing w:after="0"/>
              <w:rPr>
                <w:sz w:val="20"/>
                <w:szCs w:val="20"/>
                <w:color w:val="auto"/>
              </w:rPr>
            </w:pPr>
            <w:r>
              <w:rPr>
                <w:rFonts w:ascii="Arial" w:cs="Arial" w:eastAsia="Arial" w:hAnsi="Arial"/>
                <w:sz w:val="16"/>
                <w:szCs w:val="16"/>
                <w:color w:val="auto"/>
              </w:rPr>
              <w:t>Certificates of deposit</w:t>
            </w:r>
          </w:p>
        </w:tc>
        <w:tc>
          <w:tcPr>
            <w:tcW w:w="240" w:type="dxa"/>
            <w:vAlign w:val="bottom"/>
            <w:shd w:val="clear" w:color="auto" w:fill="D4EFF3"/>
          </w:tcPr>
          <w:p>
            <w:pPr>
              <w:spacing w:after="0"/>
              <w:rPr>
                <w:sz w:val="18"/>
                <w:szCs w:val="18"/>
                <w:color w:val="auto"/>
              </w:rPr>
            </w:pPr>
          </w:p>
        </w:tc>
        <w:tc>
          <w:tcPr>
            <w:tcW w:w="1300" w:type="dxa"/>
            <w:vAlign w:val="bottom"/>
            <w:shd w:val="clear" w:color="auto" w:fill="D4EFF3"/>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shd w:val="clear" w:color="auto" w:fill="D4EFF3"/>
          </w:tcPr>
          <w:p>
            <w:pPr>
              <w:spacing w:after="0"/>
              <w:rPr>
                <w:sz w:val="18"/>
                <w:szCs w:val="18"/>
                <w:color w:val="auto"/>
              </w:rPr>
            </w:pPr>
          </w:p>
        </w:tc>
        <w:tc>
          <w:tcPr>
            <w:tcW w:w="1140" w:type="dxa"/>
            <w:vAlign w:val="bottom"/>
            <w:shd w:val="clear" w:color="auto" w:fill="D4EFF3"/>
          </w:tcPr>
          <w:p>
            <w:pPr>
              <w:jc w:val="right"/>
              <w:ind w:right="27"/>
              <w:spacing w:after="0"/>
              <w:rPr>
                <w:sz w:val="20"/>
                <w:szCs w:val="20"/>
                <w:color w:val="auto"/>
              </w:rPr>
            </w:pPr>
            <w:r>
              <w:rPr>
                <w:rFonts w:ascii="Arial" w:cs="Arial" w:eastAsia="Arial" w:hAnsi="Arial"/>
                <w:sz w:val="16"/>
                <w:szCs w:val="16"/>
                <w:color w:val="auto"/>
              </w:rPr>
              <w:t>14,960</w:t>
            </w:r>
          </w:p>
        </w:tc>
        <w:tc>
          <w:tcPr>
            <w:tcW w:w="220" w:type="dxa"/>
            <w:vAlign w:val="bottom"/>
            <w:shd w:val="clear" w:color="auto" w:fill="D4EFF3"/>
          </w:tcPr>
          <w:p>
            <w:pPr>
              <w:spacing w:after="0"/>
              <w:rPr>
                <w:sz w:val="18"/>
                <w:szCs w:val="18"/>
                <w:color w:val="auto"/>
              </w:rPr>
            </w:pPr>
          </w:p>
        </w:tc>
        <w:tc>
          <w:tcPr>
            <w:tcW w:w="1120" w:type="dxa"/>
            <w:vAlign w:val="bottom"/>
            <w:shd w:val="clear" w:color="auto" w:fill="D4EFF3"/>
          </w:tcPr>
          <w:p>
            <w:pPr>
              <w:ind w:left="8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EFF3"/>
          </w:tcPr>
          <w:p>
            <w:pPr>
              <w:spacing w:after="0"/>
              <w:rPr>
                <w:sz w:val="18"/>
                <w:szCs w:val="18"/>
                <w:color w:val="auto"/>
              </w:rPr>
            </w:pPr>
          </w:p>
        </w:tc>
        <w:tc>
          <w:tcPr>
            <w:tcW w:w="1040" w:type="dxa"/>
            <w:vAlign w:val="bottom"/>
            <w:shd w:val="clear" w:color="auto" w:fill="D4EFF3"/>
          </w:tcPr>
          <w:p>
            <w:pPr>
              <w:jc w:val="right"/>
              <w:ind w:right="22"/>
              <w:spacing w:after="0"/>
              <w:rPr>
                <w:sz w:val="20"/>
                <w:szCs w:val="20"/>
                <w:color w:val="auto"/>
              </w:rPr>
            </w:pPr>
            <w:r>
              <w:rPr>
                <w:rFonts w:ascii="Arial" w:cs="Arial" w:eastAsia="Arial" w:hAnsi="Arial"/>
                <w:sz w:val="16"/>
                <w:szCs w:val="16"/>
                <w:color w:val="auto"/>
              </w:rPr>
              <w:t>14,960</w:t>
            </w:r>
          </w:p>
        </w:tc>
      </w:tr>
      <w:tr>
        <w:trPr>
          <w:trHeight w:val="192"/>
        </w:trPr>
        <w:tc>
          <w:tcPr>
            <w:tcW w:w="302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6"/>
                <w:szCs w:val="16"/>
                <w:color w:val="auto"/>
              </w:rPr>
              <w:t>68,977</w:t>
            </w:r>
          </w:p>
        </w:tc>
        <w:tc>
          <w:tcPr>
            <w:tcW w:w="24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68,977</w:t>
            </w:r>
          </w:p>
        </w:tc>
      </w:tr>
      <w:tr>
        <w:trPr>
          <w:trHeight w:val="208"/>
        </w:trPr>
        <w:tc>
          <w:tcPr>
            <w:tcW w:w="3020" w:type="dxa"/>
            <w:vAlign w:val="bottom"/>
            <w:shd w:val="clear" w:color="auto" w:fill="D4EFF3"/>
          </w:tcPr>
          <w:p>
            <w:pPr>
              <w:ind w:left="20"/>
              <w:spacing w:after="0"/>
              <w:rPr>
                <w:sz w:val="20"/>
                <w:szCs w:val="20"/>
                <w:color w:val="auto"/>
              </w:rPr>
            </w:pPr>
            <w:r>
              <w:rPr>
                <w:rFonts w:ascii="Arial" w:cs="Arial" w:eastAsia="Arial" w:hAnsi="Arial"/>
                <w:sz w:val="16"/>
                <w:szCs w:val="16"/>
                <w:color w:val="auto"/>
              </w:rPr>
              <w:t>U.S. government treasuries</w:t>
            </w:r>
          </w:p>
        </w:tc>
        <w:tc>
          <w:tcPr>
            <w:tcW w:w="240" w:type="dxa"/>
            <w:vAlign w:val="bottom"/>
            <w:shd w:val="clear" w:color="auto" w:fill="D4EFF3"/>
          </w:tcPr>
          <w:p>
            <w:pPr>
              <w:spacing w:after="0"/>
              <w:rPr>
                <w:sz w:val="18"/>
                <w:szCs w:val="18"/>
                <w:color w:val="auto"/>
              </w:rPr>
            </w:pPr>
          </w:p>
        </w:tc>
        <w:tc>
          <w:tcPr>
            <w:tcW w:w="1300" w:type="dxa"/>
            <w:vAlign w:val="bottom"/>
            <w:shd w:val="clear" w:color="auto" w:fill="D4EFF3"/>
          </w:tcPr>
          <w:p>
            <w:pPr>
              <w:jc w:val="right"/>
              <w:ind w:right="28"/>
              <w:spacing w:after="0"/>
              <w:rPr>
                <w:sz w:val="20"/>
                <w:szCs w:val="20"/>
                <w:color w:val="auto"/>
              </w:rPr>
            </w:pPr>
            <w:r>
              <w:rPr>
                <w:rFonts w:ascii="Arial" w:cs="Arial" w:eastAsia="Arial" w:hAnsi="Arial"/>
                <w:sz w:val="16"/>
                <w:szCs w:val="16"/>
                <w:color w:val="auto"/>
              </w:rPr>
              <w:t>1,664</w:t>
            </w:r>
          </w:p>
        </w:tc>
        <w:tc>
          <w:tcPr>
            <w:tcW w:w="240" w:type="dxa"/>
            <w:vAlign w:val="bottom"/>
            <w:shd w:val="clear" w:color="auto" w:fill="D4EFF3"/>
          </w:tcPr>
          <w:p>
            <w:pPr>
              <w:spacing w:after="0"/>
              <w:rPr>
                <w:sz w:val="18"/>
                <w:szCs w:val="18"/>
                <w:color w:val="auto"/>
              </w:rPr>
            </w:pPr>
          </w:p>
        </w:tc>
        <w:tc>
          <w:tcPr>
            <w:tcW w:w="1140" w:type="dxa"/>
            <w:vAlign w:val="bottom"/>
            <w:shd w:val="clear" w:color="auto" w:fill="D4EFF3"/>
          </w:tcPr>
          <w:p>
            <w:pPr>
              <w:jc w:val="right"/>
              <w:ind w:right="27"/>
              <w:spacing w:after="0"/>
              <w:rPr>
                <w:sz w:val="20"/>
                <w:szCs w:val="20"/>
                <w:color w:val="auto"/>
              </w:rPr>
            </w:pPr>
            <w:r>
              <w:rPr>
                <w:rFonts w:ascii="Arial" w:cs="Arial" w:eastAsia="Arial" w:hAnsi="Arial"/>
                <w:sz w:val="16"/>
                <w:szCs w:val="16"/>
                <w:color w:val="auto"/>
              </w:rPr>
              <w:t>—</w:t>
            </w:r>
          </w:p>
        </w:tc>
        <w:tc>
          <w:tcPr>
            <w:tcW w:w="220" w:type="dxa"/>
            <w:vAlign w:val="bottom"/>
            <w:shd w:val="clear" w:color="auto" w:fill="D4EFF3"/>
          </w:tcPr>
          <w:p>
            <w:pPr>
              <w:spacing w:after="0"/>
              <w:rPr>
                <w:sz w:val="18"/>
                <w:szCs w:val="18"/>
                <w:color w:val="auto"/>
              </w:rPr>
            </w:pPr>
          </w:p>
        </w:tc>
        <w:tc>
          <w:tcPr>
            <w:tcW w:w="1120" w:type="dxa"/>
            <w:vAlign w:val="bottom"/>
            <w:shd w:val="clear" w:color="auto" w:fill="D4EFF3"/>
          </w:tcPr>
          <w:p>
            <w:pPr>
              <w:ind w:left="8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EFF3"/>
          </w:tcPr>
          <w:p>
            <w:pPr>
              <w:spacing w:after="0"/>
              <w:rPr>
                <w:sz w:val="18"/>
                <w:szCs w:val="18"/>
                <w:color w:val="auto"/>
              </w:rPr>
            </w:pPr>
          </w:p>
        </w:tc>
        <w:tc>
          <w:tcPr>
            <w:tcW w:w="1040" w:type="dxa"/>
            <w:vAlign w:val="bottom"/>
            <w:shd w:val="clear" w:color="auto" w:fill="D4EFF3"/>
          </w:tcPr>
          <w:p>
            <w:pPr>
              <w:jc w:val="right"/>
              <w:ind w:right="22"/>
              <w:spacing w:after="0"/>
              <w:rPr>
                <w:sz w:val="20"/>
                <w:szCs w:val="20"/>
                <w:color w:val="auto"/>
              </w:rPr>
            </w:pPr>
            <w:r>
              <w:rPr>
                <w:rFonts w:ascii="Arial" w:cs="Arial" w:eastAsia="Arial" w:hAnsi="Arial"/>
                <w:sz w:val="16"/>
                <w:szCs w:val="16"/>
                <w:color w:val="auto"/>
              </w:rPr>
              <w:t>1,664</w:t>
            </w:r>
          </w:p>
        </w:tc>
      </w:tr>
      <w:tr>
        <w:trPr>
          <w:trHeight w:val="192"/>
        </w:trPr>
        <w:tc>
          <w:tcPr>
            <w:tcW w:w="30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6"/>
                <w:szCs w:val="16"/>
                <w:color w:val="auto"/>
              </w:rPr>
              <w:t>6,026</w:t>
            </w:r>
          </w:p>
        </w:tc>
        <w:tc>
          <w:tcPr>
            <w:tcW w:w="220" w:type="dxa"/>
            <w:vAlign w:val="bottom"/>
          </w:tcPr>
          <w:p>
            <w:pPr>
              <w:spacing w:after="0"/>
              <w:rPr>
                <w:sz w:val="16"/>
                <w:szCs w:val="16"/>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6,026</w:t>
            </w:r>
          </w:p>
        </w:tc>
      </w:tr>
      <w:tr>
        <w:trPr>
          <w:trHeight w:val="210"/>
        </w:trPr>
        <w:tc>
          <w:tcPr>
            <w:tcW w:w="302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6"/>
                <w:szCs w:val="16"/>
                <w:color w:val="auto"/>
              </w:rPr>
              <w:t>Money market funds (cash equivalents)</w:t>
            </w:r>
          </w:p>
        </w:tc>
        <w:tc>
          <w:tcPr>
            <w:tcW w:w="240" w:type="dxa"/>
            <w:vAlign w:val="bottom"/>
            <w:tcBorders>
              <w:bottom w:val="single" w:sz="8" w:color="auto"/>
            </w:tcBorders>
            <w:shd w:val="clear" w:color="auto" w:fill="D4EFF3"/>
          </w:tcPr>
          <w:p>
            <w:pPr>
              <w:spacing w:after="0"/>
              <w:rPr>
                <w:sz w:val="18"/>
                <w:szCs w:val="18"/>
                <w:color w:val="auto"/>
              </w:rPr>
            </w:pPr>
          </w:p>
        </w:tc>
        <w:tc>
          <w:tcPr>
            <w:tcW w:w="1300" w:type="dxa"/>
            <w:vAlign w:val="bottom"/>
            <w:tcBorders>
              <w:bottom w:val="single" w:sz="8" w:color="auto"/>
            </w:tcBorders>
            <w:shd w:val="clear" w:color="auto" w:fill="D4EFF3"/>
          </w:tcPr>
          <w:p>
            <w:pPr>
              <w:jc w:val="right"/>
              <w:ind w:right="28"/>
              <w:spacing w:after="0"/>
              <w:rPr>
                <w:sz w:val="20"/>
                <w:szCs w:val="20"/>
                <w:color w:val="auto"/>
              </w:rPr>
            </w:pPr>
            <w:r>
              <w:rPr>
                <w:rFonts w:ascii="Arial" w:cs="Arial" w:eastAsia="Arial" w:hAnsi="Arial"/>
                <w:sz w:val="16"/>
                <w:szCs w:val="16"/>
                <w:color w:val="auto"/>
              </w:rPr>
              <w:t>8,383</w:t>
            </w:r>
          </w:p>
        </w:tc>
        <w:tc>
          <w:tcPr>
            <w:tcW w:w="240" w:type="dxa"/>
            <w:vAlign w:val="bottom"/>
            <w:tcBorders>
              <w:bottom w:val="single" w:sz="8" w:color="auto"/>
            </w:tcBorders>
            <w:shd w:val="clear" w:color="auto" w:fill="D4EFF3"/>
          </w:tcPr>
          <w:p>
            <w:pPr>
              <w:spacing w:after="0"/>
              <w:rPr>
                <w:sz w:val="18"/>
                <w:szCs w:val="18"/>
                <w:color w:val="auto"/>
              </w:rPr>
            </w:pPr>
          </w:p>
        </w:tc>
        <w:tc>
          <w:tcPr>
            <w:tcW w:w="1140" w:type="dxa"/>
            <w:vAlign w:val="bottom"/>
            <w:tcBorders>
              <w:bottom w:val="single" w:sz="8" w:color="auto"/>
            </w:tcBorders>
            <w:shd w:val="clear" w:color="auto" w:fill="D4EFF3"/>
          </w:tcPr>
          <w:p>
            <w:pPr>
              <w:jc w:val="right"/>
              <w:ind w:right="2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4EFF3"/>
          </w:tcPr>
          <w:p>
            <w:pPr>
              <w:spacing w:after="0"/>
              <w:rPr>
                <w:sz w:val="18"/>
                <w:szCs w:val="18"/>
                <w:color w:val="auto"/>
              </w:rPr>
            </w:pPr>
          </w:p>
        </w:tc>
        <w:tc>
          <w:tcPr>
            <w:tcW w:w="1120" w:type="dxa"/>
            <w:vAlign w:val="bottom"/>
            <w:tcBorders>
              <w:bottom w:val="single" w:sz="8" w:color="auto"/>
            </w:tcBorders>
            <w:shd w:val="clear" w:color="auto" w:fill="D4EFF3"/>
          </w:tcPr>
          <w:p>
            <w:pPr>
              <w:ind w:left="8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EFF3"/>
          </w:tcPr>
          <w:p>
            <w:pPr>
              <w:spacing w:after="0"/>
              <w:rPr>
                <w:sz w:val="18"/>
                <w:szCs w:val="18"/>
                <w:color w:val="auto"/>
              </w:rPr>
            </w:pPr>
          </w:p>
        </w:tc>
        <w:tc>
          <w:tcPr>
            <w:tcW w:w="1040" w:type="dxa"/>
            <w:vAlign w:val="bottom"/>
            <w:tcBorders>
              <w:bottom w:val="single" w:sz="8" w:color="auto"/>
            </w:tcBorders>
            <w:shd w:val="clear" w:color="auto" w:fill="D4EFF3"/>
          </w:tcPr>
          <w:p>
            <w:pPr>
              <w:jc w:val="right"/>
              <w:ind w:right="22"/>
              <w:spacing w:after="0"/>
              <w:rPr>
                <w:sz w:val="20"/>
                <w:szCs w:val="20"/>
                <w:color w:val="auto"/>
              </w:rPr>
            </w:pPr>
            <w:r>
              <w:rPr>
                <w:rFonts w:ascii="Arial" w:cs="Arial" w:eastAsia="Arial" w:hAnsi="Arial"/>
                <w:sz w:val="16"/>
                <w:szCs w:val="16"/>
                <w:color w:val="auto"/>
              </w:rPr>
              <w:t>8,383</w:t>
            </w:r>
          </w:p>
        </w:tc>
      </w:tr>
      <w:tr>
        <w:trPr>
          <w:trHeight w:val="176"/>
        </w:trPr>
        <w:tc>
          <w:tcPr>
            <w:tcW w:w="3020" w:type="dxa"/>
            <w:vAlign w:val="bottom"/>
          </w:tcPr>
          <w:p>
            <w:pPr>
              <w:ind w:left="260"/>
              <w:spacing w:after="0" w:line="160" w:lineRule="exact"/>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8"/>
              <w:spacing w:after="0" w:line="160" w:lineRule="exact"/>
              <w:rPr>
                <w:sz w:val="20"/>
                <w:szCs w:val="20"/>
                <w:color w:val="auto"/>
              </w:rPr>
            </w:pPr>
            <w:r>
              <w:rPr>
                <w:rFonts w:ascii="Arial" w:cs="Arial" w:eastAsia="Arial" w:hAnsi="Arial"/>
                <w:sz w:val="16"/>
                <w:szCs w:val="16"/>
                <w:color w:val="auto"/>
              </w:rPr>
              <w:t>79,024</w:t>
            </w:r>
          </w:p>
        </w:tc>
        <w:tc>
          <w:tcPr>
            <w:tcW w:w="2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7"/>
              <w:spacing w:after="0" w:line="160" w:lineRule="exact"/>
              <w:rPr>
                <w:sz w:val="20"/>
                <w:szCs w:val="20"/>
                <w:color w:val="auto"/>
              </w:rPr>
            </w:pPr>
            <w:r>
              <w:rPr>
                <w:rFonts w:ascii="Arial" w:cs="Arial" w:eastAsia="Arial" w:hAnsi="Arial"/>
                <w:sz w:val="16"/>
                <w:szCs w:val="16"/>
                <w:color w:val="auto"/>
              </w:rPr>
              <w:t>107,622</w:t>
            </w:r>
          </w:p>
        </w:tc>
        <w:tc>
          <w:tcPr>
            <w:tcW w:w="2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80"/>
              <w:spacing w:after="0" w:line="160"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80"/>
              <w:spacing w:after="0" w:line="160"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2"/>
              <w:spacing w:after="0" w:line="160" w:lineRule="exact"/>
              <w:rPr>
                <w:sz w:val="20"/>
                <w:szCs w:val="20"/>
                <w:color w:val="auto"/>
              </w:rPr>
            </w:pPr>
            <w:r>
              <w:rPr>
                <w:rFonts w:ascii="Arial" w:cs="Arial" w:eastAsia="Arial" w:hAnsi="Arial"/>
                <w:sz w:val="16"/>
                <w:szCs w:val="16"/>
                <w:color w:val="auto"/>
              </w:rPr>
              <w:t>186,646</w:t>
            </w:r>
          </w:p>
        </w:tc>
      </w:tr>
      <w:tr>
        <w:trPr>
          <w:trHeight w:val="371"/>
        </w:trPr>
        <w:tc>
          <w:tcPr>
            <w:tcW w:w="3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Measurements as of December 31, 2024 (000's):</w:t>
            </w:r>
          </w:p>
        </w:tc>
        <w:tc>
          <w:tcPr>
            <w:tcW w:w="1040" w:type="dxa"/>
            <w:vAlign w:val="bottom"/>
            <w:tcBorders>
              <w:bottom w:val="single" w:sz="8" w:color="auto"/>
            </w:tcBorders>
          </w:tcPr>
          <w:p>
            <w:pPr>
              <w:spacing w:after="0"/>
              <w:rPr>
                <w:sz w:val="24"/>
                <w:szCs w:val="24"/>
                <w:color w:val="auto"/>
              </w:rPr>
            </w:pPr>
          </w:p>
        </w:tc>
      </w:tr>
      <w:tr>
        <w:trPr>
          <w:trHeight w:val="160"/>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8"/>
              <w:spacing w:after="0"/>
              <w:rPr>
                <w:sz w:val="20"/>
                <w:szCs w:val="20"/>
                <w:color w:val="auto"/>
              </w:rPr>
            </w:pPr>
            <w:r>
              <w:rPr>
                <w:rFonts w:ascii="Arial" w:cs="Arial" w:eastAsia="Arial" w:hAnsi="Arial"/>
                <w:sz w:val="13"/>
                <w:szCs w:val="13"/>
                <w:b w:val="1"/>
                <w:bCs w:val="1"/>
                <w:color w:val="auto"/>
                <w:w w:val="97"/>
              </w:rPr>
              <w:t>Quoted Prices</w:t>
            </w:r>
          </w:p>
        </w:tc>
        <w:tc>
          <w:tcPr>
            <w:tcW w:w="240" w:type="dxa"/>
            <w:vAlign w:val="bottom"/>
          </w:tcPr>
          <w:p>
            <w:pPr>
              <w:spacing w:after="0"/>
              <w:rPr>
                <w:sz w:val="13"/>
                <w:szCs w:val="13"/>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Arial" w:cs="Arial" w:eastAsia="Arial" w:hAnsi="Arial"/>
                <w:sz w:val="13"/>
                <w:szCs w:val="13"/>
                <w:b w:val="1"/>
                <w:bCs w:val="1"/>
                <w:color w:val="auto"/>
                <w:w w:val="95"/>
              </w:rPr>
              <w:t>in Active</w:t>
            </w:r>
          </w:p>
        </w:tc>
        <w:tc>
          <w:tcPr>
            <w:tcW w:w="24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Arial" w:cs="Arial" w:eastAsia="Arial" w:hAnsi="Arial"/>
                <w:sz w:val="13"/>
                <w:szCs w:val="13"/>
                <w:b w:val="1"/>
                <w:bCs w:val="1"/>
                <w:color w:val="auto"/>
                <w:w w:val="96"/>
              </w:rPr>
              <w:t>Significant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Arial" w:cs="Arial" w:eastAsia="Arial" w:hAnsi="Arial"/>
                <w:sz w:val="13"/>
                <w:szCs w:val="13"/>
                <w:b w:val="1"/>
                <w:bCs w:val="1"/>
                <w:color w:val="auto"/>
                <w:w w:val="96"/>
              </w:rPr>
              <w:t>Markets for</w:t>
            </w:r>
          </w:p>
        </w:tc>
        <w:tc>
          <w:tcPr>
            <w:tcW w:w="24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Arial" w:cs="Arial" w:eastAsia="Arial" w:hAnsi="Arial"/>
                <w:sz w:val="13"/>
                <w:szCs w:val="13"/>
                <w:b w:val="1"/>
                <w:bCs w:val="1"/>
                <w:color w:val="auto"/>
                <w:w w:val="97"/>
              </w:rPr>
              <w:t>Unobservable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Arial" w:cs="Arial" w:eastAsia="Arial" w:hAnsi="Arial"/>
                <w:sz w:val="13"/>
                <w:szCs w:val="13"/>
                <w:b w:val="1"/>
                <w:bCs w:val="1"/>
                <w:color w:val="auto"/>
                <w:w w:val="96"/>
              </w:rPr>
              <w:t>Identical Assets</w:t>
            </w:r>
          </w:p>
        </w:tc>
        <w:tc>
          <w:tcPr>
            <w:tcW w:w="240" w:type="dxa"/>
            <w:vAlign w:val="bottom"/>
          </w:tcPr>
          <w:p>
            <w:pPr>
              <w:spacing w:after="0"/>
              <w:rPr>
                <w:sz w:val="14"/>
                <w:szCs w:val="14"/>
                <w:color w:val="auto"/>
              </w:rPr>
            </w:pPr>
          </w:p>
        </w:tc>
        <w:tc>
          <w:tcPr>
            <w:tcW w:w="1140" w:type="dxa"/>
            <w:vAlign w:val="bottom"/>
          </w:tcPr>
          <w:p>
            <w:pPr>
              <w:jc w:val="center"/>
              <w:ind w:right="207"/>
              <w:spacing w:after="0"/>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4"/>
                <w:szCs w:val="14"/>
                <w:color w:val="auto"/>
              </w:rPr>
            </w:pPr>
          </w:p>
        </w:tc>
        <w:tc>
          <w:tcPr>
            <w:tcW w:w="1120" w:type="dxa"/>
            <w:vAlign w:val="bottom"/>
          </w:tcPr>
          <w:p>
            <w:pPr>
              <w:jc w:val="center"/>
              <w:ind w:right="146"/>
              <w:spacing w:after="0"/>
              <w:rPr>
                <w:sz w:val="20"/>
                <w:szCs w:val="20"/>
                <w:color w:val="auto"/>
              </w:rPr>
            </w:pPr>
            <w:r>
              <w:rPr>
                <w:rFonts w:ascii="Arial" w:cs="Arial" w:eastAsia="Arial" w:hAnsi="Arial"/>
                <w:sz w:val="13"/>
                <w:szCs w:val="13"/>
                <w:b w:val="1"/>
                <w:bCs w:val="1"/>
                <w:color w:val="auto"/>
                <w:w w:val="97"/>
              </w:rPr>
              <w:t>Inputs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3020" w:type="dxa"/>
            <w:vAlign w:val="bottom"/>
            <w:tcBorders>
              <w:bottom w:val="single" w:sz="8" w:color="D4EFF3"/>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88"/>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8"/>
              </w:rPr>
              <w:t>(Level 3)</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Fair Value</w:t>
            </w:r>
          </w:p>
        </w:tc>
      </w:tr>
      <w:tr>
        <w:trPr>
          <w:trHeight w:val="206"/>
        </w:trPr>
        <w:tc>
          <w:tcPr>
            <w:tcW w:w="3020" w:type="dxa"/>
            <w:vAlign w:val="bottom"/>
            <w:shd w:val="clear" w:color="auto" w:fill="D4EFF3"/>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D4EFF3"/>
          </w:tcPr>
          <w:p>
            <w:pPr>
              <w:spacing w:after="0"/>
              <w:rPr>
                <w:sz w:val="17"/>
                <w:szCs w:val="17"/>
                <w:color w:val="auto"/>
              </w:rPr>
            </w:pPr>
          </w:p>
        </w:tc>
        <w:tc>
          <w:tcPr>
            <w:tcW w:w="1300" w:type="dxa"/>
            <w:vAlign w:val="bottom"/>
            <w:shd w:val="clear" w:color="auto" w:fill="D4EFF3"/>
          </w:tcPr>
          <w:p>
            <w:pPr>
              <w:spacing w:after="0"/>
              <w:rPr>
                <w:sz w:val="17"/>
                <w:szCs w:val="17"/>
                <w:color w:val="auto"/>
              </w:rPr>
            </w:pPr>
          </w:p>
        </w:tc>
        <w:tc>
          <w:tcPr>
            <w:tcW w:w="240" w:type="dxa"/>
            <w:vAlign w:val="bottom"/>
            <w:shd w:val="clear" w:color="auto" w:fill="D4EFF3"/>
          </w:tcPr>
          <w:p>
            <w:pPr>
              <w:spacing w:after="0"/>
              <w:rPr>
                <w:sz w:val="17"/>
                <w:szCs w:val="17"/>
                <w:color w:val="auto"/>
              </w:rPr>
            </w:pPr>
          </w:p>
        </w:tc>
        <w:tc>
          <w:tcPr>
            <w:tcW w:w="1140" w:type="dxa"/>
            <w:vAlign w:val="bottom"/>
            <w:shd w:val="clear" w:color="auto" w:fill="D4EFF3"/>
          </w:tcPr>
          <w:p>
            <w:pPr>
              <w:spacing w:after="0"/>
              <w:rPr>
                <w:sz w:val="17"/>
                <w:szCs w:val="17"/>
                <w:color w:val="auto"/>
              </w:rPr>
            </w:pPr>
          </w:p>
        </w:tc>
        <w:tc>
          <w:tcPr>
            <w:tcW w:w="220" w:type="dxa"/>
            <w:vAlign w:val="bottom"/>
            <w:shd w:val="clear" w:color="auto" w:fill="D4EFF3"/>
          </w:tcPr>
          <w:p>
            <w:pPr>
              <w:spacing w:after="0"/>
              <w:rPr>
                <w:sz w:val="17"/>
                <w:szCs w:val="17"/>
                <w:color w:val="auto"/>
              </w:rPr>
            </w:pPr>
          </w:p>
        </w:tc>
        <w:tc>
          <w:tcPr>
            <w:tcW w:w="1120" w:type="dxa"/>
            <w:vAlign w:val="bottom"/>
            <w:shd w:val="clear" w:color="auto" w:fill="D4EFF3"/>
          </w:tcPr>
          <w:p>
            <w:pPr>
              <w:spacing w:after="0"/>
              <w:rPr>
                <w:sz w:val="17"/>
                <w:szCs w:val="17"/>
                <w:color w:val="auto"/>
              </w:rPr>
            </w:pPr>
          </w:p>
        </w:tc>
        <w:tc>
          <w:tcPr>
            <w:tcW w:w="340" w:type="dxa"/>
            <w:vAlign w:val="bottom"/>
            <w:shd w:val="clear" w:color="auto" w:fill="D4EFF3"/>
          </w:tcPr>
          <w:p>
            <w:pPr>
              <w:spacing w:after="0"/>
              <w:rPr>
                <w:sz w:val="17"/>
                <w:szCs w:val="17"/>
                <w:color w:val="auto"/>
              </w:rPr>
            </w:pPr>
          </w:p>
        </w:tc>
        <w:tc>
          <w:tcPr>
            <w:tcW w:w="1040" w:type="dxa"/>
            <w:vAlign w:val="bottom"/>
            <w:shd w:val="clear" w:color="auto" w:fill="D4EFF3"/>
          </w:tcPr>
          <w:p>
            <w:pPr>
              <w:spacing w:after="0"/>
              <w:rPr>
                <w:sz w:val="17"/>
                <w:szCs w:val="17"/>
                <w:color w:val="auto"/>
              </w:rPr>
            </w:pPr>
          </w:p>
        </w:tc>
      </w:tr>
      <w:tr>
        <w:trPr>
          <w:trHeight w:val="192"/>
        </w:trPr>
        <w:tc>
          <w:tcPr>
            <w:tcW w:w="302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7"/>
              <w:spacing w:after="0"/>
              <w:rPr>
                <w:sz w:val="20"/>
                <w:szCs w:val="20"/>
                <w:color w:val="auto"/>
              </w:rPr>
            </w:pPr>
            <w:r>
              <w:rPr>
                <w:rFonts w:ascii="Arial" w:cs="Arial" w:eastAsia="Arial" w:hAnsi="Arial"/>
                <w:sz w:val="16"/>
                <w:szCs w:val="16"/>
                <w:color w:val="auto"/>
              </w:rPr>
              <w:t>44,963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44,963</w:t>
            </w:r>
          </w:p>
        </w:tc>
      </w:tr>
      <w:tr>
        <w:trPr>
          <w:trHeight w:val="208"/>
        </w:trPr>
        <w:tc>
          <w:tcPr>
            <w:tcW w:w="3020" w:type="dxa"/>
            <w:vAlign w:val="bottom"/>
            <w:shd w:val="clear" w:color="auto" w:fill="D4EFF3"/>
          </w:tcPr>
          <w:p>
            <w:pPr>
              <w:ind w:left="20"/>
              <w:spacing w:after="0"/>
              <w:rPr>
                <w:sz w:val="20"/>
                <w:szCs w:val="20"/>
                <w:color w:val="auto"/>
              </w:rPr>
            </w:pPr>
            <w:r>
              <w:rPr>
                <w:rFonts w:ascii="Arial" w:cs="Arial" w:eastAsia="Arial" w:hAnsi="Arial"/>
                <w:sz w:val="16"/>
                <w:szCs w:val="16"/>
                <w:color w:val="auto"/>
              </w:rPr>
              <w:t>Certificates of deposit</w:t>
            </w:r>
          </w:p>
        </w:tc>
        <w:tc>
          <w:tcPr>
            <w:tcW w:w="240" w:type="dxa"/>
            <w:vAlign w:val="bottom"/>
            <w:shd w:val="clear" w:color="auto" w:fill="D4EFF3"/>
          </w:tcPr>
          <w:p>
            <w:pPr>
              <w:spacing w:after="0"/>
              <w:rPr>
                <w:sz w:val="18"/>
                <w:szCs w:val="18"/>
                <w:color w:val="auto"/>
              </w:rPr>
            </w:pPr>
          </w:p>
        </w:tc>
        <w:tc>
          <w:tcPr>
            <w:tcW w:w="1300" w:type="dxa"/>
            <w:vAlign w:val="bottom"/>
            <w:shd w:val="clear" w:color="auto" w:fill="D4EFF3"/>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shd w:val="clear" w:color="auto" w:fill="D4EFF3"/>
          </w:tcPr>
          <w:p>
            <w:pPr>
              <w:spacing w:after="0"/>
              <w:rPr>
                <w:sz w:val="18"/>
                <w:szCs w:val="18"/>
                <w:color w:val="auto"/>
              </w:rPr>
            </w:pPr>
          </w:p>
        </w:tc>
        <w:tc>
          <w:tcPr>
            <w:tcW w:w="1140" w:type="dxa"/>
            <w:vAlign w:val="bottom"/>
            <w:shd w:val="clear" w:color="auto" w:fill="D4EFF3"/>
          </w:tcPr>
          <w:p>
            <w:pPr>
              <w:jc w:val="right"/>
              <w:ind w:right="27"/>
              <w:spacing w:after="0"/>
              <w:rPr>
                <w:sz w:val="20"/>
                <w:szCs w:val="20"/>
                <w:color w:val="auto"/>
              </w:rPr>
            </w:pPr>
            <w:r>
              <w:rPr>
                <w:rFonts w:ascii="Arial" w:cs="Arial" w:eastAsia="Arial" w:hAnsi="Arial"/>
                <w:sz w:val="16"/>
                <w:szCs w:val="16"/>
                <w:color w:val="auto"/>
              </w:rPr>
              <w:t>15,269</w:t>
            </w:r>
          </w:p>
        </w:tc>
        <w:tc>
          <w:tcPr>
            <w:tcW w:w="220" w:type="dxa"/>
            <w:vAlign w:val="bottom"/>
            <w:shd w:val="clear" w:color="auto" w:fill="D4EFF3"/>
          </w:tcPr>
          <w:p>
            <w:pPr>
              <w:spacing w:after="0"/>
              <w:rPr>
                <w:sz w:val="18"/>
                <w:szCs w:val="18"/>
                <w:color w:val="auto"/>
              </w:rPr>
            </w:pPr>
          </w:p>
        </w:tc>
        <w:tc>
          <w:tcPr>
            <w:tcW w:w="1120" w:type="dxa"/>
            <w:vAlign w:val="bottom"/>
            <w:shd w:val="clear" w:color="auto" w:fill="D4EFF3"/>
          </w:tcPr>
          <w:p>
            <w:pPr>
              <w:ind w:left="8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EFF3"/>
          </w:tcPr>
          <w:p>
            <w:pPr>
              <w:spacing w:after="0"/>
              <w:rPr>
                <w:sz w:val="18"/>
                <w:szCs w:val="18"/>
                <w:color w:val="auto"/>
              </w:rPr>
            </w:pPr>
          </w:p>
        </w:tc>
        <w:tc>
          <w:tcPr>
            <w:tcW w:w="1040" w:type="dxa"/>
            <w:vAlign w:val="bottom"/>
            <w:shd w:val="clear" w:color="auto" w:fill="D4EFF3"/>
          </w:tcPr>
          <w:p>
            <w:pPr>
              <w:jc w:val="right"/>
              <w:ind w:right="22"/>
              <w:spacing w:after="0"/>
              <w:rPr>
                <w:sz w:val="20"/>
                <w:szCs w:val="20"/>
                <w:color w:val="auto"/>
              </w:rPr>
            </w:pPr>
            <w:r>
              <w:rPr>
                <w:rFonts w:ascii="Arial" w:cs="Arial" w:eastAsia="Arial" w:hAnsi="Arial"/>
                <w:sz w:val="16"/>
                <w:szCs w:val="16"/>
                <w:color w:val="auto"/>
              </w:rPr>
              <w:t>15,269</w:t>
            </w:r>
          </w:p>
        </w:tc>
      </w:tr>
      <w:tr>
        <w:trPr>
          <w:trHeight w:val="192"/>
        </w:trPr>
        <w:tc>
          <w:tcPr>
            <w:tcW w:w="302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6"/>
                <w:szCs w:val="16"/>
                <w:color w:val="auto"/>
              </w:rPr>
              <w:t>12,084</w:t>
            </w:r>
          </w:p>
        </w:tc>
        <w:tc>
          <w:tcPr>
            <w:tcW w:w="24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12,084</w:t>
            </w:r>
          </w:p>
        </w:tc>
      </w:tr>
      <w:tr>
        <w:trPr>
          <w:trHeight w:val="208"/>
        </w:trPr>
        <w:tc>
          <w:tcPr>
            <w:tcW w:w="3020" w:type="dxa"/>
            <w:vAlign w:val="bottom"/>
            <w:shd w:val="clear" w:color="auto" w:fill="D4EFF3"/>
          </w:tcPr>
          <w:p>
            <w:pPr>
              <w:ind w:left="20"/>
              <w:spacing w:after="0"/>
              <w:rPr>
                <w:sz w:val="20"/>
                <w:szCs w:val="20"/>
                <w:color w:val="auto"/>
              </w:rPr>
            </w:pPr>
            <w:r>
              <w:rPr>
                <w:rFonts w:ascii="Arial" w:cs="Arial" w:eastAsia="Arial" w:hAnsi="Arial"/>
                <w:sz w:val="16"/>
                <w:szCs w:val="16"/>
                <w:color w:val="auto"/>
              </w:rPr>
              <w:t>U.S. government treasuries</w:t>
            </w:r>
          </w:p>
        </w:tc>
        <w:tc>
          <w:tcPr>
            <w:tcW w:w="240" w:type="dxa"/>
            <w:vAlign w:val="bottom"/>
            <w:shd w:val="clear" w:color="auto" w:fill="D4EFF3"/>
          </w:tcPr>
          <w:p>
            <w:pPr>
              <w:spacing w:after="0"/>
              <w:rPr>
                <w:sz w:val="18"/>
                <w:szCs w:val="18"/>
                <w:color w:val="auto"/>
              </w:rPr>
            </w:pPr>
          </w:p>
        </w:tc>
        <w:tc>
          <w:tcPr>
            <w:tcW w:w="1300" w:type="dxa"/>
            <w:vAlign w:val="bottom"/>
            <w:shd w:val="clear" w:color="auto" w:fill="D4EFF3"/>
          </w:tcPr>
          <w:p>
            <w:pPr>
              <w:jc w:val="right"/>
              <w:ind w:right="28"/>
              <w:spacing w:after="0"/>
              <w:rPr>
                <w:sz w:val="20"/>
                <w:szCs w:val="20"/>
                <w:color w:val="auto"/>
              </w:rPr>
            </w:pPr>
            <w:r>
              <w:rPr>
                <w:rFonts w:ascii="Arial" w:cs="Arial" w:eastAsia="Arial" w:hAnsi="Arial"/>
                <w:sz w:val="16"/>
                <w:szCs w:val="16"/>
                <w:color w:val="auto"/>
              </w:rPr>
              <w:t>4,399</w:t>
            </w:r>
          </w:p>
        </w:tc>
        <w:tc>
          <w:tcPr>
            <w:tcW w:w="240" w:type="dxa"/>
            <w:vAlign w:val="bottom"/>
            <w:shd w:val="clear" w:color="auto" w:fill="D4EFF3"/>
          </w:tcPr>
          <w:p>
            <w:pPr>
              <w:spacing w:after="0"/>
              <w:rPr>
                <w:sz w:val="18"/>
                <w:szCs w:val="18"/>
                <w:color w:val="auto"/>
              </w:rPr>
            </w:pPr>
          </w:p>
        </w:tc>
        <w:tc>
          <w:tcPr>
            <w:tcW w:w="1140" w:type="dxa"/>
            <w:vAlign w:val="bottom"/>
            <w:shd w:val="clear" w:color="auto" w:fill="D4EFF3"/>
          </w:tcPr>
          <w:p>
            <w:pPr>
              <w:jc w:val="right"/>
              <w:ind w:right="27"/>
              <w:spacing w:after="0"/>
              <w:rPr>
                <w:sz w:val="20"/>
                <w:szCs w:val="20"/>
                <w:color w:val="auto"/>
              </w:rPr>
            </w:pPr>
            <w:r>
              <w:rPr>
                <w:rFonts w:ascii="Arial" w:cs="Arial" w:eastAsia="Arial" w:hAnsi="Arial"/>
                <w:sz w:val="16"/>
                <w:szCs w:val="16"/>
                <w:color w:val="auto"/>
              </w:rPr>
              <w:t>—</w:t>
            </w:r>
          </w:p>
        </w:tc>
        <w:tc>
          <w:tcPr>
            <w:tcW w:w="220" w:type="dxa"/>
            <w:vAlign w:val="bottom"/>
            <w:shd w:val="clear" w:color="auto" w:fill="D4EFF3"/>
          </w:tcPr>
          <w:p>
            <w:pPr>
              <w:spacing w:after="0"/>
              <w:rPr>
                <w:sz w:val="18"/>
                <w:szCs w:val="18"/>
                <w:color w:val="auto"/>
              </w:rPr>
            </w:pPr>
          </w:p>
        </w:tc>
        <w:tc>
          <w:tcPr>
            <w:tcW w:w="1120" w:type="dxa"/>
            <w:vAlign w:val="bottom"/>
            <w:shd w:val="clear" w:color="auto" w:fill="D4EFF3"/>
          </w:tcPr>
          <w:p>
            <w:pPr>
              <w:ind w:left="8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EFF3"/>
          </w:tcPr>
          <w:p>
            <w:pPr>
              <w:spacing w:after="0"/>
              <w:rPr>
                <w:sz w:val="18"/>
                <w:szCs w:val="18"/>
                <w:color w:val="auto"/>
              </w:rPr>
            </w:pPr>
          </w:p>
        </w:tc>
        <w:tc>
          <w:tcPr>
            <w:tcW w:w="1040" w:type="dxa"/>
            <w:vAlign w:val="bottom"/>
            <w:shd w:val="clear" w:color="auto" w:fill="D4EFF3"/>
          </w:tcPr>
          <w:p>
            <w:pPr>
              <w:jc w:val="right"/>
              <w:ind w:right="22"/>
              <w:spacing w:after="0"/>
              <w:rPr>
                <w:sz w:val="20"/>
                <w:szCs w:val="20"/>
                <w:color w:val="auto"/>
              </w:rPr>
            </w:pPr>
            <w:r>
              <w:rPr>
                <w:rFonts w:ascii="Arial" w:cs="Arial" w:eastAsia="Arial" w:hAnsi="Arial"/>
                <w:sz w:val="16"/>
                <w:szCs w:val="16"/>
                <w:color w:val="auto"/>
              </w:rPr>
              <w:t>4,399</w:t>
            </w:r>
          </w:p>
        </w:tc>
      </w:tr>
      <w:tr>
        <w:trPr>
          <w:trHeight w:val="192"/>
        </w:trPr>
        <w:tc>
          <w:tcPr>
            <w:tcW w:w="30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ind w:right="27"/>
              <w:spacing w:after="0"/>
              <w:rPr>
                <w:sz w:val="20"/>
                <w:szCs w:val="20"/>
                <w:color w:val="auto"/>
              </w:rPr>
            </w:pPr>
            <w:r>
              <w:rPr>
                <w:rFonts w:ascii="Arial" w:cs="Arial" w:eastAsia="Arial" w:hAnsi="Arial"/>
                <w:sz w:val="16"/>
                <w:szCs w:val="16"/>
                <w:color w:val="auto"/>
              </w:rPr>
              <w:t>6,524</w:t>
            </w:r>
          </w:p>
        </w:tc>
        <w:tc>
          <w:tcPr>
            <w:tcW w:w="220" w:type="dxa"/>
            <w:vAlign w:val="bottom"/>
          </w:tcPr>
          <w:p>
            <w:pPr>
              <w:spacing w:after="0"/>
              <w:rPr>
                <w:sz w:val="16"/>
                <w:szCs w:val="16"/>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6,524</w:t>
            </w:r>
          </w:p>
        </w:tc>
      </w:tr>
      <w:tr>
        <w:trPr>
          <w:trHeight w:val="210"/>
        </w:trPr>
        <w:tc>
          <w:tcPr>
            <w:tcW w:w="3020" w:type="dxa"/>
            <w:vAlign w:val="bottom"/>
            <w:tcBorders>
              <w:bottom w:val="single" w:sz="8" w:color="D4EFF3"/>
            </w:tcBorders>
            <w:shd w:val="clear" w:color="auto" w:fill="D4EFF3"/>
          </w:tcPr>
          <w:p>
            <w:pPr>
              <w:ind w:left="20"/>
              <w:spacing w:after="0"/>
              <w:rPr>
                <w:sz w:val="20"/>
                <w:szCs w:val="20"/>
                <w:color w:val="auto"/>
              </w:rPr>
            </w:pPr>
            <w:r>
              <w:rPr>
                <w:rFonts w:ascii="Arial" w:cs="Arial" w:eastAsia="Arial" w:hAnsi="Arial"/>
                <w:sz w:val="16"/>
                <w:szCs w:val="16"/>
                <w:color w:val="auto"/>
              </w:rPr>
              <w:t>Money market funds (cash equivalents)</w:t>
            </w:r>
          </w:p>
        </w:tc>
        <w:tc>
          <w:tcPr>
            <w:tcW w:w="240" w:type="dxa"/>
            <w:vAlign w:val="bottom"/>
            <w:tcBorders>
              <w:bottom w:val="single" w:sz="8" w:color="auto"/>
            </w:tcBorders>
            <w:shd w:val="clear" w:color="auto" w:fill="D4EFF3"/>
          </w:tcPr>
          <w:p>
            <w:pPr>
              <w:spacing w:after="0"/>
              <w:rPr>
                <w:sz w:val="18"/>
                <w:szCs w:val="18"/>
                <w:color w:val="auto"/>
              </w:rPr>
            </w:pPr>
          </w:p>
        </w:tc>
        <w:tc>
          <w:tcPr>
            <w:tcW w:w="1300" w:type="dxa"/>
            <w:vAlign w:val="bottom"/>
            <w:tcBorders>
              <w:bottom w:val="single" w:sz="8" w:color="auto"/>
            </w:tcBorders>
            <w:shd w:val="clear" w:color="auto" w:fill="D4EFF3"/>
          </w:tcPr>
          <w:p>
            <w:pPr>
              <w:jc w:val="right"/>
              <w:ind w:right="28"/>
              <w:spacing w:after="0"/>
              <w:rPr>
                <w:sz w:val="20"/>
                <w:szCs w:val="20"/>
                <w:color w:val="auto"/>
              </w:rPr>
            </w:pPr>
            <w:r>
              <w:rPr>
                <w:rFonts w:ascii="Arial" w:cs="Arial" w:eastAsia="Arial" w:hAnsi="Arial"/>
                <w:sz w:val="16"/>
                <w:szCs w:val="16"/>
                <w:color w:val="auto"/>
              </w:rPr>
              <w:t>23,880</w:t>
            </w:r>
          </w:p>
        </w:tc>
        <w:tc>
          <w:tcPr>
            <w:tcW w:w="240" w:type="dxa"/>
            <w:vAlign w:val="bottom"/>
            <w:tcBorders>
              <w:bottom w:val="single" w:sz="8" w:color="auto"/>
            </w:tcBorders>
            <w:shd w:val="clear" w:color="auto" w:fill="D4EFF3"/>
          </w:tcPr>
          <w:p>
            <w:pPr>
              <w:spacing w:after="0"/>
              <w:rPr>
                <w:sz w:val="18"/>
                <w:szCs w:val="18"/>
                <w:color w:val="auto"/>
              </w:rPr>
            </w:pPr>
          </w:p>
        </w:tc>
        <w:tc>
          <w:tcPr>
            <w:tcW w:w="1140" w:type="dxa"/>
            <w:vAlign w:val="bottom"/>
            <w:tcBorders>
              <w:bottom w:val="single" w:sz="8" w:color="auto"/>
            </w:tcBorders>
            <w:shd w:val="clear" w:color="auto" w:fill="D4EFF3"/>
          </w:tcPr>
          <w:p>
            <w:pPr>
              <w:jc w:val="right"/>
              <w:ind w:right="2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4EFF3"/>
          </w:tcPr>
          <w:p>
            <w:pPr>
              <w:spacing w:after="0"/>
              <w:rPr>
                <w:sz w:val="18"/>
                <w:szCs w:val="18"/>
                <w:color w:val="auto"/>
              </w:rPr>
            </w:pPr>
          </w:p>
        </w:tc>
        <w:tc>
          <w:tcPr>
            <w:tcW w:w="1120" w:type="dxa"/>
            <w:vAlign w:val="bottom"/>
            <w:tcBorders>
              <w:bottom w:val="single" w:sz="8" w:color="auto"/>
            </w:tcBorders>
            <w:shd w:val="clear" w:color="auto" w:fill="D4EFF3"/>
          </w:tcPr>
          <w:p>
            <w:pPr>
              <w:ind w:left="8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EFF3"/>
          </w:tcPr>
          <w:p>
            <w:pPr>
              <w:spacing w:after="0"/>
              <w:rPr>
                <w:sz w:val="18"/>
                <w:szCs w:val="18"/>
                <w:color w:val="auto"/>
              </w:rPr>
            </w:pPr>
          </w:p>
        </w:tc>
        <w:tc>
          <w:tcPr>
            <w:tcW w:w="1040" w:type="dxa"/>
            <w:vAlign w:val="bottom"/>
            <w:tcBorders>
              <w:bottom w:val="single" w:sz="8" w:color="auto"/>
            </w:tcBorders>
            <w:shd w:val="clear" w:color="auto" w:fill="D4EFF3"/>
          </w:tcPr>
          <w:p>
            <w:pPr>
              <w:jc w:val="right"/>
              <w:ind w:right="22"/>
              <w:spacing w:after="0"/>
              <w:rPr>
                <w:sz w:val="20"/>
                <w:szCs w:val="20"/>
                <w:color w:val="auto"/>
              </w:rPr>
            </w:pPr>
            <w:r>
              <w:rPr>
                <w:rFonts w:ascii="Arial" w:cs="Arial" w:eastAsia="Arial" w:hAnsi="Arial"/>
                <w:sz w:val="16"/>
                <w:szCs w:val="16"/>
                <w:color w:val="auto"/>
              </w:rPr>
              <w:t>23,880</w:t>
            </w:r>
          </w:p>
        </w:tc>
      </w:tr>
      <w:tr>
        <w:trPr>
          <w:trHeight w:val="176"/>
        </w:trPr>
        <w:tc>
          <w:tcPr>
            <w:tcW w:w="3020" w:type="dxa"/>
            <w:vAlign w:val="bottom"/>
          </w:tcPr>
          <w:p>
            <w:pPr>
              <w:ind w:left="260"/>
              <w:spacing w:after="0" w:line="160" w:lineRule="exact"/>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8"/>
              <w:spacing w:after="0" w:line="160" w:lineRule="exact"/>
              <w:rPr>
                <w:sz w:val="20"/>
                <w:szCs w:val="20"/>
                <w:color w:val="auto"/>
              </w:rPr>
            </w:pPr>
            <w:r>
              <w:rPr>
                <w:rFonts w:ascii="Arial" w:cs="Arial" w:eastAsia="Arial" w:hAnsi="Arial"/>
                <w:sz w:val="16"/>
                <w:szCs w:val="16"/>
                <w:color w:val="auto"/>
              </w:rPr>
              <w:t>40,363</w:t>
            </w:r>
          </w:p>
        </w:tc>
        <w:tc>
          <w:tcPr>
            <w:tcW w:w="2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7"/>
              <w:spacing w:after="0" w:line="160" w:lineRule="exact"/>
              <w:rPr>
                <w:sz w:val="20"/>
                <w:szCs w:val="20"/>
                <w:color w:val="auto"/>
              </w:rPr>
            </w:pPr>
            <w:r>
              <w:rPr>
                <w:rFonts w:ascii="Arial" w:cs="Arial" w:eastAsia="Arial" w:hAnsi="Arial"/>
                <w:sz w:val="16"/>
                <w:szCs w:val="16"/>
                <w:color w:val="auto"/>
              </w:rPr>
              <w:t>66,756</w:t>
            </w:r>
          </w:p>
        </w:tc>
        <w:tc>
          <w:tcPr>
            <w:tcW w:w="2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80"/>
              <w:spacing w:after="0" w:line="160"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80"/>
              <w:spacing w:after="0" w:line="160"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2"/>
              <w:spacing w:after="0" w:line="160" w:lineRule="exact"/>
              <w:rPr>
                <w:sz w:val="20"/>
                <w:szCs w:val="20"/>
                <w:color w:val="auto"/>
              </w:rPr>
            </w:pPr>
            <w:r>
              <w:rPr>
                <w:rFonts w:ascii="Arial" w:cs="Arial" w:eastAsia="Arial" w:hAnsi="Arial"/>
                <w:sz w:val="16"/>
                <w:szCs w:val="16"/>
                <w:color w:val="auto"/>
              </w:rPr>
              <w:t>107,119</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hanging="490"/>
        <w:spacing w:after="0"/>
        <w:tabs>
          <w:tab w:leader="none" w:pos="5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Marketable Securities</w:t>
      </w:r>
    </w:p>
    <w:p>
      <w:pPr>
        <w:spacing w:after="0" w:line="244" w:lineRule="exact"/>
        <w:rPr>
          <w:sz w:val="20"/>
          <w:szCs w:val="20"/>
          <w:color w:val="auto"/>
        </w:rPr>
      </w:pPr>
    </w:p>
    <w:p>
      <w:pPr>
        <w:ind w:left="580" w:right="100"/>
        <w:spacing w:after="0" w:line="248" w:lineRule="auto"/>
        <w:rPr>
          <w:sz w:val="20"/>
          <w:szCs w:val="20"/>
          <w:color w:val="auto"/>
        </w:rPr>
      </w:pPr>
      <w:r>
        <w:rPr>
          <w:rFonts w:ascii="Arial" w:cs="Arial" w:eastAsia="Arial" w:hAnsi="Arial"/>
          <w:sz w:val="20"/>
          <w:szCs w:val="20"/>
          <w:color w:val="auto"/>
        </w:rPr>
        <w:t>The objectives of the Company’s investment policy are to ensure the safety and preservation of invested funds, as well as to maintain liquidity sufficient to meet cash flow requirements. The Company invests its excess cash in securities issued by financial institutions, commercial companies, and government agencies that management believes to be of high credit quality in order to limit the amount of its credit exposure. The Company has not realized any net losses from its investments.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2240" w:h="15840" w:orient="portrait"/>
          <w:cols w:equalWidth="0" w:num="1">
            <w:col w:w="9360"/>
          </w:cols>
          <w:pgMar w:left="1440" w:top="1420" w:right="1440" w:bottom="393" w:gutter="0" w:footer="0" w:header="0"/>
        </w:sectPr>
      </w:pPr>
    </w:p>
    <w:bookmarkStart w:id="117" w:name="page118"/>
    <w:bookmarkEnd w:id="117"/>
    <w:p>
      <w:pPr>
        <w:ind w:left="580" w:right="240"/>
        <w:spacing w:after="0" w:line="248" w:lineRule="auto"/>
        <w:rPr>
          <w:sz w:val="20"/>
          <w:szCs w:val="20"/>
          <w:color w:val="auto"/>
        </w:rPr>
      </w:pPr>
      <w:r>
        <w:rPr>
          <w:rFonts w:ascii="Arial" w:cs="Arial" w:eastAsia="Arial" w:hAnsi="Arial"/>
          <w:sz w:val="20"/>
          <w:szCs w:val="20"/>
          <w:color w:val="auto"/>
        </w:rPr>
        <w:t>Unrealized gains and losses on investments that are available for sale are recognized in accumulated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w:t>
      </w:r>
    </w:p>
    <w:p>
      <w:pPr>
        <w:spacing w:after="0" w:line="194" w:lineRule="exact"/>
        <w:rPr>
          <w:sz w:val="20"/>
          <w:szCs w:val="20"/>
          <w:color w:val="auto"/>
        </w:rPr>
      </w:pPr>
    </w:p>
    <w:p>
      <w:pPr>
        <w:ind w:left="580" w:right="40"/>
        <w:spacing w:after="0" w:line="248" w:lineRule="auto"/>
        <w:rPr>
          <w:sz w:val="20"/>
          <w:szCs w:val="20"/>
          <w:color w:val="auto"/>
        </w:rPr>
      </w:pPr>
      <w:r>
        <w:rPr>
          <w:rFonts w:ascii="Arial" w:cs="Arial" w:eastAsia="Arial" w:hAnsi="Arial"/>
          <w:sz w:val="20"/>
          <w:szCs w:val="20"/>
          <w:color w:val="auto"/>
        </w:rPr>
        <w:t>The Company believes the individual unrealized losses represent temporary declines primarily resulting from interest rate changes. Realized gains and losses are included in other income in the consolidated statements of operations and comprehensive loss and are determined using the specific identification method with transactions recorded on a trade date basis. The Company classifies marketable securities that are available for use in current operations as current assets on the consolidated balance sheet.</w:t>
      </w:r>
    </w:p>
    <w:p>
      <w:pPr>
        <w:spacing w:after="0" w:line="194" w:lineRule="exact"/>
        <w:rPr>
          <w:sz w:val="20"/>
          <w:szCs w:val="20"/>
          <w:color w:val="auto"/>
        </w:rPr>
      </w:pPr>
    </w:p>
    <w:p>
      <w:pPr>
        <w:ind w:left="580" w:right="400"/>
        <w:spacing w:after="0" w:line="282" w:lineRule="auto"/>
        <w:rPr>
          <w:sz w:val="20"/>
          <w:szCs w:val="20"/>
          <w:color w:val="auto"/>
        </w:rPr>
      </w:pPr>
      <w:r>
        <w:rPr>
          <w:rFonts w:ascii="Arial" w:cs="Arial" w:eastAsia="Arial" w:hAnsi="Arial"/>
          <w:sz w:val="20"/>
          <w:szCs w:val="20"/>
          <w:color w:val="auto"/>
        </w:rPr>
        <w:t>The following tables summarize marketable securities held at December 31, 2025 and 2024 (in thousands):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255"/>
        </w:trPr>
        <w:tc>
          <w:tcPr>
            <w:tcW w:w="24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820" w:type="dxa"/>
            <w:vAlign w:val="bottom"/>
            <w:tcBorders>
              <w:bottom w:val="single" w:sz="8" w:color="auto"/>
            </w:tcBorders>
            <w:gridSpan w:val="10"/>
          </w:tcPr>
          <w:p>
            <w:pPr>
              <w:jc w:val="right"/>
              <w:ind w:right="426"/>
              <w:spacing w:after="0"/>
              <w:rPr>
                <w:sz w:val="20"/>
                <w:szCs w:val="20"/>
                <w:color w:val="auto"/>
              </w:rPr>
            </w:pPr>
            <w:r>
              <w:rPr>
                <w:rFonts w:ascii="Arial" w:cs="Arial" w:eastAsia="Arial" w:hAnsi="Arial"/>
                <w:sz w:val="19"/>
                <w:szCs w:val="19"/>
                <w:b w:val="1"/>
                <w:bCs w:val="1"/>
                <w:color w:val="auto"/>
              </w:rPr>
              <w:t>Fair Value Measurements as of December 31, 2025 Using:</w:t>
            </w:r>
          </w:p>
        </w:tc>
      </w:tr>
      <w:tr>
        <w:trPr>
          <w:trHeight w:val="225"/>
        </w:trPr>
        <w:tc>
          <w:tcPr>
            <w:tcW w:w="2440" w:type="dxa"/>
            <w:vAlign w:val="bottom"/>
          </w:tcPr>
          <w:p>
            <w:pPr>
              <w:spacing w:after="0"/>
              <w:rPr>
                <w:sz w:val="19"/>
                <w:szCs w:val="19"/>
                <w:color w:val="auto"/>
              </w:rPr>
            </w:pPr>
          </w:p>
        </w:tc>
        <w:tc>
          <w:tcPr>
            <w:tcW w:w="1360" w:type="dxa"/>
            <w:vAlign w:val="bottom"/>
            <w:gridSpan w:val="2"/>
          </w:tcPr>
          <w:p>
            <w:pPr>
              <w:jc w:val="right"/>
              <w:ind w:right="146"/>
              <w:spacing w:after="0"/>
              <w:rPr>
                <w:sz w:val="20"/>
                <w:szCs w:val="20"/>
                <w:color w:val="auto"/>
              </w:rPr>
            </w:pPr>
            <w:r>
              <w:rPr>
                <w:rFonts w:ascii="Arial" w:cs="Arial" w:eastAsia="Arial" w:hAnsi="Arial"/>
                <w:sz w:val="19"/>
                <w:szCs w:val="19"/>
                <w:b w:val="1"/>
                <w:bCs w:val="1"/>
                <w:color w:val="auto"/>
              </w:rPr>
              <w:t>Amortized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6"/>
              <w:spacing w:after="0"/>
              <w:rPr>
                <w:sz w:val="20"/>
                <w:szCs w:val="20"/>
                <w:color w:val="auto"/>
              </w:rPr>
            </w:pPr>
            <w:r>
              <w:rPr>
                <w:rFonts w:ascii="Arial" w:cs="Arial" w:eastAsia="Arial" w:hAnsi="Arial"/>
                <w:sz w:val="19"/>
                <w:szCs w:val="19"/>
                <w:b w:val="1"/>
                <w:bCs w:val="1"/>
                <w:color w:val="auto"/>
                <w:w w:val="93"/>
              </w:rPr>
              <w:t>Unrealized</w:t>
            </w:r>
          </w:p>
        </w:tc>
        <w:tc>
          <w:tcPr>
            <w:tcW w:w="240" w:type="dxa"/>
            <w:vAlign w:val="bottom"/>
          </w:tcPr>
          <w:p>
            <w:pPr>
              <w:spacing w:after="0"/>
              <w:rPr>
                <w:sz w:val="19"/>
                <w:szCs w:val="19"/>
                <w:color w:val="auto"/>
              </w:rPr>
            </w:pPr>
          </w:p>
        </w:tc>
        <w:tc>
          <w:tcPr>
            <w:tcW w:w="1380" w:type="dxa"/>
            <w:vAlign w:val="bottom"/>
            <w:gridSpan w:val="2"/>
          </w:tcPr>
          <w:p>
            <w:pPr>
              <w:jc w:val="right"/>
              <w:ind w:right="126"/>
              <w:spacing w:after="0"/>
              <w:rPr>
                <w:sz w:val="20"/>
                <w:szCs w:val="20"/>
                <w:color w:val="auto"/>
              </w:rPr>
            </w:pPr>
            <w:r>
              <w:rPr>
                <w:rFonts w:ascii="Arial" w:cs="Arial" w:eastAsia="Arial" w:hAnsi="Arial"/>
                <w:sz w:val="19"/>
                <w:szCs w:val="19"/>
                <w:b w:val="1"/>
                <w:bCs w:val="1"/>
                <w:color w:val="auto"/>
              </w:rPr>
              <w:t>Unrealized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5"/>
        </w:trPr>
        <w:tc>
          <w:tcPr>
            <w:tcW w:w="2440" w:type="dxa"/>
            <w:vAlign w:val="bottom"/>
            <w:tcBorders>
              <w:bottom w:val="single" w:sz="8" w:color="D4EFF3"/>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auto"/>
              </w:rPr>
              <w:t>Cost</w:t>
            </w:r>
          </w:p>
        </w:tc>
        <w:tc>
          <w:tcPr>
            <w:tcW w:w="240" w:type="dxa"/>
            <w:vAlign w:val="bottom"/>
            <w:tcBorders>
              <w:bottom w:val="single" w:sz="8" w:color="D4EFF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gains</w:t>
            </w:r>
          </w:p>
        </w:tc>
        <w:tc>
          <w:tcPr>
            <w:tcW w:w="240" w:type="dxa"/>
            <w:vAlign w:val="bottom"/>
            <w:tcBorders>
              <w:bottom w:val="single" w:sz="8" w:color="D4EFF3"/>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66"/>
              <w:spacing w:after="0"/>
              <w:rPr>
                <w:sz w:val="20"/>
                <w:szCs w:val="20"/>
                <w:color w:val="auto"/>
              </w:rPr>
            </w:pPr>
            <w:r>
              <w:rPr>
                <w:rFonts w:ascii="Arial" w:cs="Arial" w:eastAsia="Arial" w:hAnsi="Arial"/>
                <w:sz w:val="19"/>
                <w:szCs w:val="19"/>
                <w:b w:val="1"/>
                <w:bCs w:val="1"/>
                <w:color w:val="auto"/>
              </w:rPr>
              <w:t>Losses</w:t>
            </w:r>
          </w:p>
        </w:tc>
        <w:tc>
          <w:tcPr>
            <w:tcW w:w="240" w:type="dxa"/>
            <w:vAlign w:val="bottom"/>
            <w:tcBorders>
              <w:bottom w:val="single" w:sz="8" w:color="D4EF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b w:val="1"/>
                <w:bCs w:val="1"/>
                <w:color w:val="auto"/>
                <w:w w:val="96"/>
              </w:rPr>
              <w:t>Fair Value</w:t>
            </w:r>
          </w:p>
        </w:tc>
      </w:tr>
      <w:tr>
        <w:trPr>
          <w:trHeight w:val="263"/>
        </w:trPr>
        <w:tc>
          <w:tcPr>
            <w:tcW w:w="2440" w:type="dxa"/>
            <w:vAlign w:val="bottom"/>
            <w:shd w:val="clear" w:color="auto" w:fill="D4EFF3"/>
          </w:tcPr>
          <w:p>
            <w:pPr>
              <w:ind w:left="20"/>
              <w:spacing w:after="0"/>
              <w:rPr>
                <w:sz w:val="20"/>
                <w:szCs w:val="20"/>
                <w:color w:val="auto"/>
              </w:rPr>
            </w:pPr>
            <w:r>
              <w:rPr>
                <w:rFonts w:ascii="Arial" w:cs="Arial" w:eastAsia="Arial" w:hAnsi="Arial"/>
                <w:sz w:val="19"/>
                <w:szCs w:val="19"/>
                <w:b w:val="1"/>
                <w:bCs w:val="1"/>
                <w:color w:val="auto"/>
              </w:rPr>
              <w:t>Assets</w:t>
            </w:r>
          </w:p>
        </w:tc>
        <w:tc>
          <w:tcPr>
            <w:tcW w:w="360" w:type="dxa"/>
            <w:vAlign w:val="bottom"/>
            <w:shd w:val="clear" w:color="auto" w:fill="D4EFF3"/>
          </w:tcPr>
          <w:p>
            <w:pPr>
              <w:spacing w:after="0"/>
              <w:rPr>
                <w:sz w:val="22"/>
                <w:szCs w:val="22"/>
                <w:color w:val="auto"/>
              </w:rPr>
            </w:pPr>
          </w:p>
        </w:tc>
        <w:tc>
          <w:tcPr>
            <w:tcW w:w="100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220" w:type="dxa"/>
            <w:vAlign w:val="bottom"/>
            <w:shd w:val="clear" w:color="auto" w:fill="D4EFF3"/>
          </w:tcPr>
          <w:p>
            <w:pPr>
              <w:spacing w:after="0"/>
              <w:rPr>
                <w:sz w:val="22"/>
                <w:szCs w:val="22"/>
                <w:color w:val="auto"/>
              </w:rPr>
            </w:pPr>
          </w:p>
        </w:tc>
        <w:tc>
          <w:tcPr>
            <w:tcW w:w="114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300" w:type="dxa"/>
            <w:vAlign w:val="bottom"/>
            <w:shd w:val="clear" w:color="auto" w:fill="D4EFF3"/>
          </w:tcPr>
          <w:p>
            <w:pPr>
              <w:spacing w:after="0"/>
              <w:rPr>
                <w:sz w:val="22"/>
                <w:szCs w:val="22"/>
                <w:color w:val="auto"/>
              </w:rPr>
            </w:pPr>
          </w:p>
        </w:tc>
        <w:tc>
          <w:tcPr>
            <w:tcW w:w="108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1120" w:type="dxa"/>
            <w:vAlign w:val="bottom"/>
            <w:shd w:val="clear" w:color="auto" w:fill="D4EFF3"/>
          </w:tcPr>
          <w:p>
            <w:pPr>
              <w:spacing w:after="0"/>
              <w:rPr>
                <w:sz w:val="22"/>
                <w:szCs w:val="22"/>
                <w:color w:val="auto"/>
              </w:rPr>
            </w:pPr>
          </w:p>
        </w:tc>
      </w:tr>
      <w:tr>
        <w:trPr>
          <w:trHeight w:val="264"/>
        </w:trPr>
        <w:tc>
          <w:tcPr>
            <w:tcW w:w="2440" w:type="dxa"/>
            <w:vAlign w:val="bottom"/>
          </w:tcPr>
          <w:p>
            <w:pPr>
              <w:ind w:left="20"/>
              <w:spacing w:after="0"/>
              <w:rPr>
                <w:sz w:val="20"/>
                <w:szCs w:val="20"/>
                <w:color w:val="auto"/>
              </w:rPr>
            </w:pPr>
            <w:r>
              <w:rPr>
                <w:rFonts w:ascii="Arial" w:cs="Arial" w:eastAsia="Arial" w:hAnsi="Arial"/>
                <w:sz w:val="19"/>
                <w:szCs w:val="19"/>
                <w:color w:val="auto"/>
              </w:rPr>
              <w:t>Corporate bonds</w:t>
            </w:r>
          </w:p>
        </w:tc>
        <w:tc>
          <w:tcPr>
            <w:tcW w:w="36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6"/>
              <w:spacing w:after="0"/>
              <w:rPr>
                <w:sz w:val="20"/>
                <w:szCs w:val="20"/>
                <w:color w:val="auto"/>
              </w:rPr>
            </w:pPr>
            <w:r>
              <w:rPr>
                <w:rFonts w:ascii="Arial" w:cs="Arial" w:eastAsia="Arial" w:hAnsi="Arial"/>
                <w:sz w:val="19"/>
                <w:szCs w:val="19"/>
                <w:color w:val="auto"/>
              </w:rPr>
              <w:t>86,417</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ind w:right="6"/>
              <w:spacing w:after="0"/>
              <w:rPr>
                <w:sz w:val="20"/>
                <w:szCs w:val="20"/>
                <w:color w:val="auto"/>
              </w:rPr>
            </w:pPr>
            <w:r>
              <w:rPr>
                <w:rFonts w:ascii="Arial" w:cs="Arial" w:eastAsia="Arial" w:hAnsi="Arial"/>
                <w:sz w:val="19"/>
                <w:szCs w:val="19"/>
                <w:color w:val="auto"/>
              </w:rPr>
              <w:t>223</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(4)</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6"/>
              <w:spacing w:after="0"/>
              <w:rPr>
                <w:sz w:val="20"/>
                <w:szCs w:val="20"/>
                <w:color w:val="auto"/>
              </w:rPr>
            </w:pPr>
            <w:r>
              <w:rPr>
                <w:rFonts w:ascii="Arial" w:cs="Arial" w:eastAsia="Arial" w:hAnsi="Arial"/>
                <w:sz w:val="19"/>
                <w:szCs w:val="19"/>
                <w:color w:val="auto"/>
              </w:rPr>
              <w:t>86,636</w:t>
            </w:r>
          </w:p>
        </w:tc>
      </w:tr>
      <w:tr>
        <w:trPr>
          <w:trHeight w:val="293"/>
        </w:trPr>
        <w:tc>
          <w:tcPr>
            <w:tcW w:w="2440" w:type="dxa"/>
            <w:vAlign w:val="bottom"/>
            <w:shd w:val="clear" w:color="auto" w:fill="D4EFF3"/>
          </w:tcPr>
          <w:p>
            <w:pPr>
              <w:ind w:left="20"/>
              <w:spacing w:after="0"/>
              <w:rPr>
                <w:sz w:val="20"/>
                <w:szCs w:val="20"/>
                <w:color w:val="auto"/>
              </w:rPr>
            </w:pPr>
            <w:r>
              <w:rPr>
                <w:rFonts w:ascii="Arial" w:cs="Arial" w:eastAsia="Arial" w:hAnsi="Arial"/>
                <w:sz w:val="19"/>
                <w:szCs w:val="19"/>
                <w:color w:val="auto"/>
              </w:rPr>
              <w:t>Certificates of deposit</w:t>
            </w:r>
          </w:p>
        </w:tc>
        <w:tc>
          <w:tcPr>
            <w:tcW w:w="360" w:type="dxa"/>
            <w:vAlign w:val="bottom"/>
            <w:shd w:val="clear" w:color="auto" w:fill="D4EFF3"/>
          </w:tcPr>
          <w:p>
            <w:pPr>
              <w:spacing w:after="0"/>
              <w:rPr>
                <w:sz w:val="24"/>
                <w:szCs w:val="24"/>
                <w:color w:val="auto"/>
              </w:rPr>
            </w:pPr>
          </w:p>
        </w:tc>
        <w:tc>
          <w:tcPr>
            <w:tcW w:w="100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14,950</w:t>
            </w:r>
          </w:p>
        </w:tc>
        <w:tc>
          <w:tcPr>
            <w:tcW w:w="240" w:type="dxa"/>
            <w:vAlign w:val="bottom"/>
            <w:shd w:val="clear" w:color="auto" w:fill="D4EFF3"/>
          </w:tcPr>
          <w:p>
            <w:pPr>
              <w:spacing w:after="0"/>
              <w:rPr>
                <w:sz w:val="24"/>
                <w:szCs w:val="24"/>
                <w:color w:val="auto"/>
              </w:rPr>
            </w:pPr>
          </w:p>
        </w:tc>
        <w:tc>
          <w:tcPr>
            <w:tcW w:w="220" w:type="dxa"/>
            <w:vAlign w:val="bottom"/>
            <w:shd w:val="clear" w:color="auto" w:fill="D4EFF3"/>
          </w:tcPr>
          <w:p>
            <w:pPr>
              <w:spacing w:after="0"/>
              <w:rPr>
                <w:sz w:val="24"/>
                <w:szCs w:val="24"/>
                <w:color w:val="auto"/>
              </w:rPr>
            </w:pPr>
          </w:p>
        </w:tc>
        <w:tc>
          <w:tcPr>
            <w:tcW w:w="11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10</w:t>
            </w:r>
          </w:p>
        </w:tc>
        <w:tc>
          <w:tcPr>
            <w:tcW w:w="240" w:type="dxa"/>
            <w:vAlign w:val="bottom"/>
            <w:shd w:val="clear" w:color="auto" w:fill="D4EFF3"/>
          </w:tcPr>
          <w:p>
            <w:pPr>
              <w:spacing w:after="0"/>
              <w:rPr>
                <w:sz w:val="24"/>
                <w:szCs w:val="24"/>
                <w:color w:val="auto"/>
              </w:rPr>
            </w:pPr>
          </w:p>
        </w:tc>
        <w:tc>
          <w:tcPr>
            <w:tcW w:w="300" w:type="dxa"/>
            <w:vAlign w:val="bottom"/>
            <w:shd w:val="clear" w:color="auto" w:fill="D4EFF3"/>
          </w:tcPr>
          <w:p>
            <w:pPr>
              <w:spacing w:after="0"/>
              <w:rPr>
                <w:sz w:val="24"/>
                <w:szCs w:val="24"/>
                <w:color w:val="auto"/>
              </w:rPr>
            </w:pPr>
          </w:p>
        </w:tc>
        <w:tc>
          <w:tcPr>
            <w:tcW w:w="1080" w:type="dxa"/>
            <w:vAlign w:val="bottom"/>
            <w:shd w:val="clear" w:color="auto" w:fill="D4EFF3"/>
          </w:tcPr>
          <w:p>
            <w:pPr>
              <w:jc w:val="right"/>
              <w:ind w:right="26"/>
              <w:spacing w:after="0"/>
              <w:rPr>
                <w:sz w:val="20"/>
                <w:szCs w:val="20"/>
                <w:color w:val="auto"/>
              </w:rPr>
            </w:pPr>
            <w:r>
              <w:rPr>
                <w:rFonts w:ascii="Arial" w:cs="Arial" w:eastAsia="Arial" w:hAnsi="Arial"/>
                <w:sz w:val="19"/>
                <w:szCs w:val="19"/>
                <w:color w:val="auto"/>
              </w:rPr>
              <w:t>—</w:t>
            </w:r>
          </w:p>
        </w:tc>
        <w:tc>
          <w:tcPr>
            <w:tcW w:w="240" w:type="dxa"/>
            <w:vAlign w:val="bottom"/>
            <w:shd w:val="clear" w:color="auto" w:fill="D4EFF3"/>
          </w:tcPr>
          <w:p>
            <w:pPr>
              <w:spacing w:after="0"/>
              <w:rPr>
                <w:sz w:val="24"/>
                <w:szCs w:val="24"/>
                <w:color w:val="auto"/>
              </w:rPr>
            </w:pPr>
          </w:p>
        </w:tc>
        <w:tc>
          <w:tcPr>
            <w:tcW w:w="240" w:type="dxa"/>
            <w:vAlign w:val="bottom"/>
            <w:shd w:val="clear" w:color="auto" w:fill="D4EFF3"/>
          </w:tcPr>
          <w:p>
            <w:pPr>
              <w:spacing w:after="0"/>
              <w:rPr>
                <w:sz w:val="24"/>
                <w:szCs w:val="24"/>
                <w:color w:val="auto"/>
              </w:rPr>
            </w:pPr>
          </w:p>
        </w:tc>
        <w:tc>
          <w:tcPr>
            <w:tcW w:w="112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14,960</w:t>
            </w:r>
          </w:p>
        </w:tc>
      </w:tr>
      <w:tr>
        <w:trPr>
          <w:trHeight w:val="264"/>
        </w:trPr>
        <w:tc>
          <w:tcPr>
            <w:tcW w:w="2440" w:type="dxa"/>
            <w:vAlign w:val="bottom"/>
          </w:tcPr>
          <w:p>
            <w:pPr>
              <w:ind w:left="20"/>
              <w:spacing w:after="0"/>
              <w:rPr>
                <w:sz w:val="20"/>
                <w:szCs w:val="20"/>
                <w:color w:val="auto"/>
              </w:rPr>
            </w:pPr>
            <w:r>
              <w:rPr>
                <w:rFonts w:ascii="Arial" w:cs="Arial" w:eastAsia="Arial" w:hAnsi="Arial"/>
                <w:sz w:val="19"/>
                <w:szCs w:val="19"/>
                <w:color w:val="auto"/>
              </w:rPr>
              <w:t>Commercial paper</w:t>
            </w:r>
          </w:p>
        </w:tc>
        <w:tc>
          <w:tcPr>
            <w:tcW w:w="360" w:type="dxa"/>
            <w:vAlign w:val="bottom"/>
          </w:tcPr>
          <w:p>
            <w:pPr>
              <w:spacing w:after="0"/>
              <w:rPr>
                <w:sz w:val="22"/>
                <w:szCs w:val="22"/>
                <w:color w:val="auto"/>
              </w:rPr>
            </w:pPr>
          </w:p>
        </w:tc>
        <w:tc>
          <w:tcPr>
            <w:tcW w:w="1000" w:type="dxa"/>
            <w:vAlign w:val="bottom"/>
          </w:tcPr>
          <w:p>
            <w:pPr>
              <w:jc w:val="right"/>
              <w:ind w:right="6"/>
              <w:spacing w:after="0"/>
              <w:rPr>
                <w:sz w:val="20"/>
                <w:szCs w:val="20"/>
                <w:color w:val="auto"/>
              </w:rPr>
            </w:pPr>
            <w:r>
              <w:rPr>
                <w:rFonts w:ascii="Arial" w:cs="Arial" w:eastAsia="Arial" w:hAnsi="Arial"/>
                <w:sz w:val="19"/>
                <w:szCs w:val="19"/>
                <w:color w:val="auto"/>
              </w:rPr>
              <w:t>68,943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6"/>
              <w:spacing w:after="0"/>
              <w:rPr>
                <w:sz w:val="20"/>
                <w:szCs w:val="20"/>
                <w:color w:val="auto"/>
              </w:rPr>
            </w:pPr>
            <w:r>
              <w:rPr>
                <w:rFonts w:ascii="Arial" w:cs="Arial" w:eastAsia="Arial" w:hAnsi="Arial"/>
                <w:sz w:val="19"/>
                <w:szCs w:val="19"/>
                <w:color w:val="auto"/>
              </w:rPr>
              <w:t>34</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19"/>
                <w:szCs w:val="19"/>
                <w:color w:val="auto"/>
              </w:rPr>
              <w:t>68,977</w:t>
            </w:r>
          </w:p>
        </w:tc>
      </w:tr>
      <w:tr>
        <w:trPr>
          <w:trHeight w:val="283"/>
        </w:trPr>
        <w:tc>
          <w:tcPr>
            <w:tcW w:w="2440" w:type="dxa"/>
            <w:vAlign w:val="bottom"/>
            <w:shd w:val="clear" w:color="auto" w:fill="D4EFF3"/>
          </w:tcPr>
          <w:p>
            <w:pPr>
              <w:ind w:left="20"/>
              <w:spacing w:after="0"/>
              <w:rPr>
                <w:sz w:val="20"/>
                <w:szCs w:val="20"/>
                <w:color w:val="auto"/>
              </w:rPr>
            </w:pPr>
            <w:r>
              <w:rPr>
                <w:rFonts w:ascii="Arial" w:cs="Arial" w:eastAsia="Arial" w:hAnsi="Arial"/>
                <w:sz w:val="19"/>
                <w:szCs w:val="19"/>
                <w:color w:val="auto"/>
              </w:rPr>
              <w:t>Asset-backed securities</w:t>
            </w:r>
          </w:p>
        </w:tc>
        <w:tc>
          <w:tcPr>
            <w:tcW w:w="360" w:type="dxa"/>
            <w:vAlign w:val="bottom"/>
            <w:shd w:val="clear" w:color="auto" w:fill="D4EFF3"/>
          </w:tcPr>
          <w:p>
            <w:pPr>
              <w:spacing w:after="0"/>
              <w:rPr>
                <w:sz w:val="24"/>
                <w:szCs w:val="24"/>
                <w:color w:val="auto"/>
              </w:rPr>
            </w:pPr>
          </w:p>
        </w:tc>
        <w:tc>
          <w:tcPr>
            <w:tcW w:w="100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6,010</w:t>
            </w:r>
          </w:p>
        </w:tc>
        <w:tc>
          <w:tcPr>
            <w:tcW w:w="240" w:type="dxa"/>
            <w:vAlign w:val="bottom"/>
            <w:shd w:val="clear" w:color="auto" w:fill="D4EFF3"/>
          </w:tcPr>
          <w:p>
            <w:pPr>
              <w:spacing w:after="0"/>
              <w:rPr>
                <w:sz w:val="24"/>
                <w:szCs w:val="24"/>
                <w:color w:val="auto"/>
              </w:rPr>
            </w:pPr>
          </w:p>
        </w:tc>
        <w:tc>
          <w:tcPr>
            <w:tcW w:w="220" w:type="dxa"/>
            <w:vAlign w:val="bottom"/>
            <w:shd w:val="clear" w:color="auto" w:fill="D4EFF3"/>
          </w:tcPr>
          <w:p>
            <w:pPr>
              <w:spacing w:after="0"/>
              <w:rPr>
                <w:sz w:val="24"/>
                <w:szCs w:val="24"/>
                <w:color w:val="auto"/>
              </w:rPr>
            </w:pPr>
          </w:p>
        </w:tc>
        <w:tc>
          <w:tcPr>
            <w:tcW w:w="11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16</w:t>
            </w:r>
          </w:p>
        </w:tc>
        <w:tc>
          <w:tcPr>
            <w:tcW w:w="240" w:type="dxa"/>
            <w:vAlign w:val="bottom"/>
            <w:shd w:val="clear" w:color="auto" w:fill="D4EFF3"/>
          </w:tcPr>
          <w:p>
            <w:pPr>
              <w:spacing w:after="0"/>
              <w:rPr>
                <w:sz w:val="24"/>
                <w:szCs w:val="24"/>
                <w:color w:val="auto"/>
              </w:rPr>
            </w:pPr>
          </w:p>
        </w:tc>
        <w:tc>
          <w:tcPr>
            <w:tcW w:w="300" w:type="dxa"/>
            <w:vAlign w:val="bottom"/>
            <w:shd w:val="clear" w:color="auto" w:fill="D4EFF3"/>
          </w:tcPr>
          <w:p>
            <w:pPr>
              <w:spacing w:after="0"/>
              <w:rPr>
                <w:sz w:val="24"/>
                <w:szCs w:val="24"/>
                <w:color w:val="auto"/>
              </w:rPr>
            </w:pPr>
          </w:p>
        </w:tc>
        <w:tc>
          <w:tcPr>
            <w:tcW w:w="1080" w:type="dxa"/>
            <w:vAlign w:val="bottom"/>
            <w:shd w:val="clear" w:color="auto" w:fill="D4EFF3"/>
          </w:tcPr>
          <w:p>
            <w:pPr>
              <w:jc w:val="right"/>
              <w:ind w:right="26"/>
              <w:spacing w:after="0"/>
              <w:rPr>
                <w:sz w:val="20"/>
                <w:szCs w:val="20"/>
                <w:color w:val="auto"/>
              </w:rPr>
            </w:pPr>
            <w:r>
              <w:rPr>
                <w:rFonts w:ascii="Arial" w:cs="Arial" w:eastAsia="Arial" w:hAnsi="Arial"/>
                <w:sz w:val="19"/>
                <w:szCs w:val="19"/>
                <w:color w:val="auto"/>
              </w:rPr>
              <w:t>—</w:t>
            </w:r>
          </w:p>
        </w:tc>
        <w:tc>
          <w:tcPr>
            <w:tcW w:w="240" w:type="dxa"/>
            <w:vAlign w:val="bottom"/>
            <w:shd w:val="clear" w:color="auto" w:fill="D4EFF3"/>
          </w:tcPr>
          <w:p>
            <w:pPr>
              <w:spacing w:after="0"/>
              <w:rPr>
                <w:sz w:val="24"/>
                <w:szCs w:val="24"/>
                <w:color w:val="auto"/>
              </w:rPr>
            </w:pPr>
          </w:p>
        </w:tc>
        <w:tc>
          <w:tcPr>
            <w:tcW w:w="240" w:type="dxa"/>
            <w:vAlign w:val="bottom"/>
            <w:shd w:val="clear" w:color="auto" w:fill="D4EFF3"/>
          </w:tcPr>
          <w:p>
            <w:pPr>
              <w:spacing w:after="0"/>
              <w:rPr>
                <w:sz w:val="24"/>
                <w:szCs w:val="24"/>
                <w:color w:val="auto"/>
              </w:rPr>
            </w:pPr>
          </w:p>
        </w:tc>
        <w:tc>
          <w:tcPr>
            <w:tcW w:w="112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6,026</w:t>
            </w:r>
          </w:p>
        </w:tc>
      </w:tr>
      <w:tr>
        <w:trPr>
          <w:trHeight w:val="271"/>
        </w:trPr>
        <w:tc>
          <w:tcPr>
            <w:tcW w:w="2440" w:type="dxa"/>
            <w:vAlign w:val="bottom"/>
            <w:tcBorders>
              <w:bottom w:val="single" w:sz="8" w:color="D4EFF3"/>
            </w:tcBorders>
          </w:tcPr>
          <w:p>
            <w:pPr>
              <w:ind w:left="20"/>
              <w:spacing w:after="0"/>
              <w:rPr>
                <w:sz w:val="20"/>
                <w:szCs w:val="20"/>
                <w:color w:val="auto"/>
              </w:rPr>
            </w:pPr>
            <w:r>
              <w:rPr>
                <w:rFonts w:ascii="Arial" w:cs="Arial" w:eastAsia="Arial" w:hAnsi="Arial"/>
                <w:sz w:val="19"/>
                <w:szCs w:val="19"/>
                <w:color w:val="auto"/>
              </w:rPr>
              <w:t>U.S. government treasuries</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1,663</w:t>
            </w:r>
          </w:p>
        </w:tc>
        <w:tc>
          <w:tcPr>
            <w:tcW w:w="240" w:type="dxa"/>
            <w:vAlign w:val="bottom"/>
            <w:tcBorders>
              <w:bottom w:val="single" w:sz="8" w:color="D4EFF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w:t>
            </w:r>
          </w:p>
        </w:tc>
        <w:tc>
          <w:tcPr>
            <w:tcW w:w="240" w:type="dxa"/>
            <w:vAlign w:val="bottom"/>
            <w:tcBorders>
              <w:bottom w:val="single" w:sz="8" w:color="D4EFF3"/>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D4EF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1,664</w:t>
            </w:r>
          </w:p>
        </w:tc>
      </w:tr>
      <w:tr>
        <w:trPr>
          <w:trHeight w:val="275"/>
        </w:trPr>
        <w:tc>
          <w:tcPr>
            <w:tcW w:w="2440" w:type="dxa"/>
            <w:vAlign w:val="bottom"/>
            <w:tcBorders>
              <w:bottom w:val="single" w:sz="8" w:color="D4EFF3"/>
            </w:tcBorders>
            <w:shd w:val="clear" w:color="auto" w:fill="D4EFF3"/>
          </w:tcPr>
          <w:p>
            <w:pPr>
              <w:ind w:left="320"/>
              <w:spacing w:after="0"/>
              <w:rPr>
                <w:sz w:val="20"/>
                <w:szCs w:val="20"/>
                <w:color w:val="auto"/>
              </w:rPr>
            </w:pPr>
            <w:r>
              <w:rPr>
                <w:rFonts w:ascii="Arial" w:cs="Arial" w:eastAsia="Arial" w:hAnsi="Arial"/>
                <w:sz w:val="19"/>
                <w:szCs w:val="19"/>
                <w:color w:val="auto"/>
              </w:rPr>
              <w:t>Total assets</w:t>
            </w:r>
          </w:p>
        </w:tc>
        <w:tc>
          <w:tcPr>
            <w:tcW w:w="360" w:type="dxa"/>
            <w:vAlign w:val="bottom"/>
            <w:tcBorders>
              <w:bottom w:val="single" w:sz="8" w:color="auto"/>
            </w:tcBorders>
            <w:shd w:val="clear" w:color="auto" w:fill="D4EFF3"/>
          </w:tcPr>
          <w:p>
            <w:pPr>
              <w:jc w:val="right"/>
              <w:ind w:right="26"/>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177,983</w:t>
            </w:r>
          </w:p>
        </w:tc>
        <w:tc>
          <w:tcPr>
            <w:tcW w:w="240" w:type="dxa"/>
            <w:vAlign w:val="bottom"/>
            <w:tcBorders>
              <w:bottom w:val="single" w:sz="8" w:color="D4EFF3"/>
            </w:tcBorders>
            <w:shd w:val="clear" w:color="auto" w:fill="D4EFF3"/>
          </w:tcPr>
          <w:p>
            <w:pPr>
              <w:spacing w:after="0"/>
              <w:rPr>
                <w:sz w:val="23"/>
                <w:szCs w:val="23"/>
                <w:color w:val="auto"/>
              </w:rPr>
            </w:pPr>
          </w:p>
        </w:tc>
        <w:tc>
          <w:tcPr>
            <w:tcW w:w="22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284</w:t>
            </w:r>
          </w:p>
        </w:tc>
        <w:tc>
          <w:tcPr>
            <w:tcW w:w="240" w:type="dxa"/>
            <w:vAlign w:val="bottom"/>
            <w:tcBorders>
              <w:bottom w:val="single" w:sz="8" w:color="D4EFF3"/>
            </w:tcBorders>
            <w:shd w:val="clear" w:color="auto" w:fill="D4EFF3"/>
          </w:tcPr>
          <w:p>
            <w:pPr>
              <w:spacing w:after="0"/>
              <w:rPr>
                <w:sz w:val="23"/>
                <w:szCs w:val="23"/>
                <w:color w:val="auto"/>
              </w:rPr>
            </w:pPr>
          </w:p>
        </w:tc>
        <w:tc>
          <w:tcPr>
            <w:tcW w:w="3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(4)</w:t>
            </w:r>
          </w:p>
        </w:tc>
        <w:tc>
          <w:tcPr>
            <w:tcW w:w="240" w:type="dxa"/>
            <w:vAlign w:val="bottom"/>
            <w:tcBorders>
              <w:bottom w:val="single" w:sz="8" w:color="D4EFF3"/>
            </w:tcBorders>
            <w:shd w:val="clear" w:color="auto" w:fill="D4EFF3"/>
          </w:tcPr>
          <w:p>
            <w:pPr>
              <w:spacing w:after="0"/>
              <w:rPr>
                <w:sz w:val="23"/>
                <w:szCs w:val="23"/>
                <w:color w:val="auto"/>
              </w:rPr>
            </w:pPr>
          </w:p>
        </w:tc>
        <w:tc>
          <w:tcPr>
            <w:tcW w:w="24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178,263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5883275</wp:posOffset>
                </wp:positionH>
                <wp:positionV relativeFrom="paragraph">
                  <wp:posOffset>-1259205</wp:posOffset>
                </wp:positionV>
                <wp:extent cx="0" cy="1206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12">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99.1499pt" to="463.25pt,-98.19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-203835</wp:posOffset>
                </wp:positionV>
                <wp:extent cx="0" cy="1206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12">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16.0499pt" to="463.25pt,-15.09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-24130</wp:posOffset>
                </wp:positionV>
                <wp:extent cx="0" cy="2413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30"/>
                        </a:xfrm>
                        <a:prstGeom prst="line">
                          <a:avLst/>
                        </a:prstGeom>
                        <a:solidFill>
                          <a:srgbClr val="FFFFFF"/>
                        </a:solidFill>
                        <a:ln w="12">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1.8999pt" to="463.25pt,0pt" o:allowincell="f" strokecolor="#000000" strokeweight="0.00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40" w:type="dxa"/>
        <w:tblCellMar>
          <w:top w:w="0" w:type="dxa"/>
          <w:left w:w="0" w:type="dxa"/>
          <w:bottom w:w="0" w:type="dxa"/>
          <w:right w:w="0" w:type="dxa"/>
        </w:tblCellMar>
      </w:tblPr>
      <w:tr>
        <w:trPr>
          <w:trHeight w:val="255"/>
        </w:trPr>
        <w:tc>
          <w:tcPr>
            <w:tcW w:w="2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960" w:type="dxa"/>
            <w:vAlign w:val="bottom"/>
            <w:tcBorders>
              <w:bottom w:val="single" w:sz="8" w:color="auto"/>
            </w:tcBorders>
            <w:gridSpan w:val="10"/>
          </w:tcPr>
          <w:p>
            <w:pPr>
              <w:jc w:val="right"/>
              <w:ind w:right="426"/>
              <w:spacing w:after="0"/>
              <w:rPr>
                <w:sz w:val="20"/>
                <w:szCs w:val="20"/>
                <w:color w:val="auto"/>
              </w:rPr>
            </w:pPr>
            <w:r>
              <w:rPr>
                <w:rFonts w:ascii="Arial" w:cs="Arial" w:eastAsia="Arial" w:hAnsi="Arial"/>
                <w:sz w:val="19"/>
                <w:szCs w:val="19"/>
                <w:b w:val="1"/>
                <w:bCs w:val="1"/>
                <w:color w:val="auto"/>
              </w:rPr>
              <w:t>Fair Value Measurements as of December 31, 2024 Using:</w:t>
            </w:r>
          </w:p>
        </w:tc>
      </w:tr>
      <w:tr>
        <w:trPr>
          <w:trHeight w:val="225"/>
        </w:trPr>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46"/>
              <w:spacing w:after="0"/>
              <w:rPr>
                <w:sz w:val="20"/>
                <w:szCs w:val="20"/>
                <w:color w:val="auto"/>
              </w:rPr>
            </w:pPr>
            <w:r>
              <w:rPr>
                <w:rFonts w:ascii="Arial" w:cs="Arial" w:eastAsia="Arial" w:hAnsi="Arial"/>
                <w:sz w:val="19"/>
                <w:szCs w:val="19"/>
                <w:b w:val="1"/>
                <w:bCs w:val="1"/>
                <w:color w:val="auto"/>
                <w:w w:val="94"/>
              </w:rPr>
              <w:t>Amortized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6"/>
              <w:spacing w:after="0"/>
              <w:rPr>
                <w:sz w:val="20"/>
                <w:szCs w:val="20"/>
                <w:color w:val="auto"/>
              </w:rPr>
            </w:pPr>
            <w:r>
              <w:rPr>
                <w:rFonts w:ascii="Arial" w:cs="Arial" w:eastAsia="Arial" w:hAnsi="Arial"/>
                <w:sz w:val="19"/>
                <w:szCs w:val="19"/>
                <w:b w:val="1"/>
                <w:bCs w:val="1"/>
                <w:color w:val="auto"/>
                <w:w w:val="93"/>
              </w:rPr>
              <w:t>Unrealized</w:t>
            </w:r>
          </w:p>
        </w:tc>
        <w:tc>
          <w:tcPr>
            <w:tcW w:w="240" w:type="dxa"/>
            <w:vAlign w:val="bottom"/>
          </w:tcPr>
          <w:p>
            <w:pPr>
              <w:spacing w:after="0"/>
              <w:rPr>
                <w:sz w:val="19"/>
                <w:szCs w:val="19"/>
                <w:color w:val="auto"/>
              </w:rPr>
            </w:pPr>
          </w:p>
        </w:tc>
        <w:tc>
          <w:tcPr>
            <w:tcW w:w="1380" w:type="dxa"/>
            <w:vAlign w:val="bottom"/>
            <w:gridSpan w:val="2"/>
          </w:tcPr>
          <w:p>
            <w:pPr>
              <w:jc w:val="right"/>
              <w:ind w:right="126"/>
              <w:spacing w:after="0"/>
              <w:rPr>
                <w:sz w:val="20"/>
                <w:szCs w:val="20"/>
                <w:color w:val="auto"/>
              </w:rPr>
            </w:pPr>
            <w:r>
              <w:rPr>
                <w:rFonts w:ascii="Arial" w:cs="Arial" w:eastAsia="Arial" w:hAnsi="Arial"/>
                <w:sz w:val="19"/>
                <w:szCs w:val="19"/>
                <w:b w:val="1"/>
                <w:bCs w:val="1"/>
                <w:color w:val="auto"/>
              </w:rPr>
              <w:t>Unrealized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5"/>
        </w:trPr>
        <w:tc>
          <w:tcPr>
            <w:tcW w:w="2440" w:type="dxa"/>
            <w:vAlign w:val="bottom"/>
            <w:tcBorders>
              <w:bottom w:val="single" w:sz="8" w:color="D4EFF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auto"/>
              </w:rPr>
              <w:t>Cost</w:t>
            </w:r>
          </w:p>
        </w:tc>
        <w:tc>
          <w:tcPr>
            <w:tcW w:w="240" w:type="dxa"/>
            <w:vAlign w:val="bottom"/>
            <w:tcBorders>
              <w:bottom w:val="single" w:sz="8" w:color="D4EFF3"/>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gains</w:t>
            </w:r>
          </w:p>
        </w:tc>
        <w:tc>
          <w:tcPr>
            <w:tcW w:w="240" w:type="dxa"/>
            <w:vAlign w:val="bottom"/>
            <w:tcBorders>
              <w:bottom w:val="single" w:sz="8" w:color="D4EFF3"/>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66"/>
              <w:spacing w:after="0"/>
              <w:rPr>
                <w:sz w:val="20"/>
                <w:szCs w:val="20"/>
                <w:color w:val="auto"/>
              </w:rPr>
            </w:pPr>
            <w:r>
              <w:rPr>
                <w:rFonts w:ascii="Arial" w:cs="Arial" w:eastAsia="Arial" w:hAnsi="Arial"/>
                <w:sz w:val="19"/>
                <w:szCs w:val="19"/>
                <w:b w:val="1"/>
                <w:bCs w:val="1"/>
                <w:color w:val="auto"/>
              </w:rPr>
              <w:t>Losses</w:t>
            </w:r>
          </w:p>
        </w:tc>
        <w:tc>
          <w:tcPr>
            <w:tcW w:w="240" w:type="dxa"/>
            <w:vAlign w:val="bottom"/>
            <w:tcBorders>
              <w:bottom w:val="single" w:sz="8" w:color="D4EFF3"/>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b w:val="1"/>
                <w:bCs w:val="1"/>
                <w:color w:val="auto"/>
                <w:w w:val="96"/>
              </w:rPr>
              <w:t>Fair Value</w:t>
            </w:r>
          </w:p>
        </w:tc>
      </w:tr>
      <w:tr>
        <w:trPr>
          <w:trHeight w:val="263"/>
        </w:trPr>
        <w:tc>
          <w:tcPr>
            <w:tcW w:w="2440" w:type="dxa"/>
            <w:vAlign w:val="bottom"/>
            <w:shd w:val="clear" w:color="auto" w:fill="D4EFF3"/>
          </w:tcPr>
          <w:p>
            <w:pPr>
              <w:ind w:left="20"/>
              <w:spacing w:after="0"/>
              <w:rPr>
                <w:sz w:val="20"/>
                <w:szCs w:val="20"/>
                <w:color w:val="auto"/>
              </w:rPr>
            </w:pPr>
            <w:r>
              <w:rPr>
                <w:rFonts w:ascii="Arial" w:cs="Arial" w:eastAsia="Arial" w:hAnsi="Arial"/>
                <w:sz w:val="19"/>
                <w:szCs w:val="19"/>
                <w:b w:val="1"/>
                <w:bCs w:val="1"/>
                <w:color w:val="auto"/>
              </w:rPr>
              <w:t>Assets</w:t>
            </w:r>
          </w:p>
        </w:tc>
        <w:tc>
          <w:tcPr>
            <w:tcW w:w="220" w:type="dxa"/>
            <w:vAlign w:val="bottom"/>
            <w:shd w:val="clear" w:color="auto" w:fill="D4EFF3"/>
          </w:tcPr>
          <w:p>
            <w:pPr>
              <w:spacing w:after="0"/>
              <w:rPr>
                <w:sz w:val="22"/>
                <w:szCs w:val="22"/>
                <w:color w:val="auto"/>
              </w:rPr>
            </w:pPr>
          </w:p>
        </w:tc>
        <w:tc>
          <w:tcPr>
            <w:tcW w:w="114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220" w:type="dxa"/>
            <w:vAlign w:val="bottom"/>
            <w:shd w:val="clear" w:color="auto" w:fill="D4EFF3"/>
          </w:tcPr>
          <w:p>
            <w:pPr>
              <w:spacing w:after="0"/>
              <w:rPr>
                <w:sz w:val="22"/>
                <w:szCs w:val="22"/>
                <w:color w:val="auto"/>
              </w:rPr>
            </w:pPr>
          </w:p>
        </w:tc>
        <w:tc>
          <w:tcPr>
            <w:tcW w:w="114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300" w:type="dxa"/>
            <w:vAlign w:val="bottom"/>
            <w:shd w:val="clear" w:color="auto" w:fill="D4EFF3"/>
          </w:tcPr>
          <w:p>
            <w:pPr>
              <w:spacing w:after="0"/>
              <w:rPr>
                <w:sz w:val="22"/>
                <w:szCs w:val="22"/>
                <w:color w:val="auto"/>
              </w:rPr>
            </w:pPr>
          </w:p>
        </w:tc>
        <w:tc>
          <w:tcPr>
            <w:tcW w:w="108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240" w:type="dxa"/>
            <w:vAlign w:val="bottom"/>
            <w:shd w:val="clear" w:color="auto" w:fill="D4EFF3"/>
          </w:tcPr>
          <w:p>
            <w:pPr>
              <w:spacing w:after="0"/>
              <w:rPr>
                <w:sz w:val="22"/>
                <w:szCs w:val="22"/>
                <w:color w:val="auto"/>
              </w:rPr>
            </w:pPr>
          </w:p>
        </w:tc>
        <w:tc>
          <w:tcPr>
            <w:tcW w:w="1120" w:type="dxa"/>
            <w:vAlign w:val="bottom"/>
            <w:shd w:val="clear" w:color="auto" w:fill="D4EFF3"/>
          </w:tcPr>
          <w:p>
            <w:pPr>
              <w:spacing w:after="0"/>
              <w:rPr>
                <w:sz w:val="22"/>
                <w:szCs w:val="22"/>
                <w:color w:val="auto"/>
              </w:rPr>
            </w:pPr>
          </w:p>
        </w:tc>
      </w:tr>
      <w:tr>
        <w:trPr>
          <w:trHeight w:val="264"/>
        </w:trPr>
        <w:tc>
          <w:tcPr>
            <w:tcW w:w="2440" w:type="dxa"/>
            <w:vAlign w:val="bottom"/>
          </w:tcPr>
          <w:p>
            <w:pPr>
              <w:ind w:left="20"/>
              <w:spacing w:after="0"/>
              <w:rPr>
                <w:sz w:val="20"/>
                <w:szCs w:val="20"/>
                <w:color w:val="auto"/>
              </w:rPr>
            </w:pPr>
            <w:r>
              <w:rPr>
                <w:rFonts w:ascii="Arial" w:cs="Arial" w:eastAsia="Arial" w:hAnsi="Arial"/>
                <w:sz w:val="19"/>
                <w:szCs w:val="19"/>
                <w:color w:val="auto"/>
              </w:rPr>
              <w:t>Corporate bonds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ind w:right="6"/>
              <w:spacing w:after="0"/>
              <w:rPr>
                <w:sz w:val="20"/>
                <w:szCs w:val="20"/>
                <w:color w:val="auto"/>
              </w:rPr>
            </w:pPr>
            <w:r>
              <w:rPr>
                <w:rFonts w:ascii="Arial" w:cs="Arial" w:eastAsia="Arial" w:hAnsi="Arial"/>
                <w:sz w:val="19"/>
                <w:szCs w:val="19"/>
                <w:color w:val="auto"/>
              </w:rPr>
              <w:t>44,794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ind w:right="6"/>
              <w:spacing w:after="0"/>
              <w:rPr>
                <w:sz w:val="20"/>
                <w:szCs w:val="20"/>
                <w:color w:val="auto"/>
              </w:rPr>
            </w:pPr>
            <w:r>
              <w:rPr>
                <w:rFonts w:ascii="Arial" w:cs="Arial" w:eastAsia="Arial" w:hAnsi="Arial"/>
                <w:sz w:val="19"/>
                <w:szCs w:val="19"/>
                <w:color w:val="auto"/>
              </w:rPr>
              <w:t>175</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(6)</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6"/>
              <w:spacing w:after="0"/>
              <w:rPr>
                <w:sz w:val="20"/>
                <w:szCs w:val="20"/>
                <w:color w:val="auto"/>
              </w:rPr>
            </w:pPr>
            <w:r>
              <w:rPr>
                <w:rFonts w:ascii="Arial" w:cs="Arial" w:eastAsia="Arial" w:hAnsi="Arial"/>
                <w:sz w:val="19"/>
                <w:szCs w:val="19"/>
                <w:color w:val="auto"/>
              </w:rPr>
              <w:t>44,963</w:t>
            </w:r>
          </w:p>
        </w:tc>
      </w:tr>
      <w:tr>
        <w:trPr>
          <w:trHeight w:val="283"/>
        </w:trPr>
        <w:tc>
          <w:tcPr>
            <w:tcW w:w="2440" w:type="dxa"/>
            <w:vAlign w:val="bottom"/>
            <w:shd w:val="clear" w:color="auto" w:fill="D4EFF3"/>
          </w:tcPr>
          <w:p>
            <w:pPr>
              <w:ind w:left="20"/>
              <w:spacing w:after="0"/>
              <w:rPr>
                <w:sz w:val="20"/>
                <w:szCs w:val="20"/>
                <w:color w:val="auto"/>
              </w:rPr>
            </w:pPr>
            <w:r>
              <w:rPr>
                <w:rFonts w:ascii="Arial" w:cs="Arial" w:eastAsia="Arial" w:hAnsi="Arial"/>
                <w:sz w:val="19"/>
                <w:szCs w:val="19"/>
                <w:color w:val="auto"/>
              </w:rPr>
              <w:t>Certificates of deposit</w:t>
            </w:r>
          </w:p>
        </w:tc>
        <w:tc>
          <w:tcPr>
            <w:tcW w:w="220" w:type="dxa"/>
            <w:vAlign w:val="bottom"/>
            <w:shd w:val="clear" w:color="auto" w:fill="D4EFF3"/>
          </w:tcPr>
          <w:p>
            <w:pPr>
              <w:spacing w:after="0"/>
              <w:rPr>
                <w:sz w:val="24"/>
                <w:szCs w:val="24"/>
                <w:color w:val="auto"/>
              </w:rPr>
            </w:pPr>
          </w:p>
        </w:tc>
        <w:tc>
          <w:tcPr>
            <w:tcW w:w="11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15,262</w:t>
            </w:r>
          </w:p>
        </w:tc>
        <w:tc>
          <w:tcPr>
            <w:tcW w:w="240" w:type="dxa"/>
            <w:vAlign w:val="bottom"/>
            <w:shd w:val="clear" w:color="auto" w:fill="D4EFF3"/>
          </w:tcPr>
          <w:p>
            <w:pPr>
              <w:spacing w:after="0"/>
              <w:rPr>
                <w:sz w:val="24"/>
                <w:szCs w:val="24"/>
                <w:color w:val="auto"/>
              </w:rPr>
            </w:pPr>
          </w:p>
        </w:tc>
        <w:tc>
          <w:tcPr>
            <w:tcW w:w="220" w:type="dxa"/>
            <w:vAlign w:val="bottom"/>
            <w:shd w:val="clear" w:color="auto" w:fill="D4EFF3"/>
          </w:tcPr>
          <w:p>
            <w:pPr>
              <w:spacing w:after="0"/>
              <w:rPr>
                <w:sz w:val="24"/>
                <w:szCs w:val="24"/>
                <w:color w:val="auto"/>
              </w:rPr>
            </w:pPr>
          </w:p>
        </w:tc>
        <w:tc>
          <w:tcPr>
            <w:tcW w:w="11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8</w:t>
            </w:r>
          </w:p>
        </w:tc>
        <w:tc>
          <w:tcPr>
            <w:tcW w:w="240" w:type="dxa"/>
            <w:vAlign w:val="bottom"/>
            <w:shd w:val="clear" w:color="auto" w:fill="D4EFF3"/>
          </w:tcPr>
          <w:p>
            <w:pPr>
              <w:spacing w:after="0"/>
              <w:rPr>
                <w:sz w:val="24"/>
                <w:szCs w:val="24"/>
                <w:color w:val="auto"/>
              </w:rPr>
            </w:pPr>
          </w:p>
        </w:tc>
        <w:tc>
          <w:tcPr>
            <w:tcW w:w="300" w:type="dxa"/>
            <w:vAlign w:val="bottom"/>
            <w:shd w:val="clear" w:color="auto" w:fill="D4EFF3"/>
          </w:tcPr>
          <w:p>
            <w:pPr>
              <w:spacing w:after="0"/>
              <w:rPr>
                <w:sz w:val="24"/>
                <w:szCs w:val="24"/>
                <w:color w:val="auto"/>
              </w:rPr>
            </w:pPr>
          </w:p>
        </w:tc>
        <w:tc>
          <w:tcPr>
            <w:tcW w:w="1080" w:type="dxa"/>
            <w:vAlign w:val="bottom"/>
            <w:shd w:val="clear" w:color="auto" w:fill="D4EFF3"/>
          </w:tcPr>
          <w:p>
            <w:pPr>
              <w:jc w:val="right"/>
              <w:spacing w:after="0"/>
              <w:rPr>
                <w:sz w:val="20"/>
                <w:szCs w:val="20"/>
                <w:color w:val="auto"/>
              </w:rPr>
            </w:pPr>
            <w:r>
              <w:rPr>
                <w:rFonts w:ascii="Arial" w:cs="Arial" w:eastAsia="Arial" w:hAnsi="Arial"/>
                <w:sz w:val="19"/>
                <w:szCs w:val="19"/>
                <w:color w:val="auto"/>
              </w:rPr>
              <w:t>(1)</w:t>
            </w:r>
          </w:p>
        </w:tc>
        <w:tc>
          <w:tcPr>
            <w:tcW w:w="240" w:type="dxa"/>
            <w:vAlign w:val="bottom"/>
            <w:shd w:val="clear" w:color="auto" w:fill="D4EFF3"/>
          </w:tcPr>
          <w:p>
            <w:pPr>
              <w:spacing w:after="0"/>
              <w:rPr>
                <w:sz w:val="24"/>
                <w:szCs w:val="24"/>
                <w:color w:val="auto"/>
              </w:rPr>
            </w:pPr>
          </w:p>
        </w:tc>
        <w:tc>
          <w:tcPr>
            <w:tcW w:w="240" w:type="dxa"/>
            <w:vAlign w:val="bottom"/>
            <w:shd w:val="clear" w:color="auto" w:fill="D4EFF3"/>
          </w:tcPr>
          <w:p>
            <w:pPr>
              <w:spacing w:after="0"/>
              <w:rPr>
                <w:sz w:val="24"/>
                <w:szCs w:val="24"/>
                <w:color w:val="auto"/>
              </w:rPr>
            </w:pPr>
          </w:p>
        </w:tc>
        <w:tc>
          <w:tcPr>
            <w:tcW w:w="112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15,269</w:t>
            </w:r>
          </w:p>
        </w:tc>
      </w:tr>
      <w:tr>
        <w:trPr>
          <w:trHeight w:val="264"/>
        </w:trPr>
        <w:tc>
          <w:tcPr>
            <w:tcW w:w="2440" w:type="dxa"/>
            <w:vAlign w:val="bottom"/>
          </w:tcPr>
          <w:p>
            <w:pPr>
              <w:ind w:left="20"/>
              <w:spacing w:after="0"/>
              <w:rPr>
                <w:sz w:val="20"/>
                <w:szCs w:val="20"/>
                <w:color w:val="auto"/>
              </w:rPr>
            </w:pPr>
            <w:r>
              <w:rPr>
                <w:rFonts w:ascii="Arial" w:cs="Arial" w:eastAsia="Arial" w:hAnsi="Arial"/>
                <w:sz w:val="19"/>
                <w:szCs w:val="19"/>
                <w:color w:val="auto"/>
              </w:rPr>
              <w:t>Commercial paper</w:t>
            </w:r>
          </w:p>
        </w:tc>
        <w:tc>
          <w:tcPr>
            <w:tcW w:w="220" w:type="dxa"/>
            <w:vAlign w:val="bottom"/>
          </w:tcPr>
          <w:p>
            <w:pPr>
              <w:spacing w:after="0"/>
              <w:rPr>
                <w:sz w:val="22"/>
                <w:szCs w:val="22"/>
                <w:color w:val="auto"/>
              </w:rPr>
            </w:pPr>
          </w:p>
        </w:tc>
        <w:tc>
          <w:tcPr>
            <w:tcW w:w="1140" w:type="dxa"/>
            <w:vAlign w:val="bottom"/>
          </w:tcPr>
          <w:p>
            <w:pPr>
              <w:jc w:val="right"/>
              <w:ind w:right="6"/>
              <w:spacing w:after="0"/>
              <w:rPr>
                <w:sz w:val="20"/>
                <w:szCs w:val="20"/>
                <w:color w:val="auto"/>
              </w:rPr>
            </w:pPr>
            <w:r>
              <w:rPr>
                <w:rFonts w:ascii="Arial" w:cs="Arial" w:eastAsia="Arial" w:hAnsi="Arial"/>
                <w:sz w:val="19"/>
                <w:szCs w:val="19"/>
                <w:color w:val="auto"/>
              </w:rPr>
              <w:t>12,081</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6"/>
              <w:spacing w:after="0"/>
              <w:rPr>
                <w:sz w:val="20"/>
                <w:szCs w:val="20"/>
                <w:color w:val="auto"/>
              </w:rPr>
            </w:pPr>
            <w:r>
              <w:rPr>
                <w:rFonts w:ascii="Arial" w:cs="Arial" w:eastAsia="Arial" w:hAnsi="Arial"/>
                <w:sz w:val="19"/>
                <w:szCs w:val="19"/>
                <w:color w:val="auto"/>
              </w:rPr>
              <w:t>5</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19"/>
                <w:szCs w:val="19"/>
                <w:color w:val="auto"/>
              </w:rPr>
              <w:t>12,084</w:t>
            </w:r>
          </w:p>
        </w:tc>
      </w:tr>
      <w:tr>
        <w:trPr>
          <w:trHeight w:val="283"/>
        </w:trPr>
        <w:tc>
          <w:tcPr>
            <w:tcW w:w="2440" w:type="dxa"/>
            <w:vAlign w:val="bottom"/>
            <w:shd w:val="clear" w:color="auto" w:fill="D4EFF3"/>
          </w:tcPr>
          <w:p>
            <w:pPr>
              <w:ind w:left="20"/>
              <w:spacing w:after="0"/>
              <w:rPr>
                <w:sz w:val="20"/>
                <w:szCs w:val="20"/>
                <w:color w:val="auto"/>
              </w:rPr>
            </w:pPr>
            <w:r>
              <w:rPr>
                <w:rFonts w:ascii="Arial" w:cs="Arial" w:eastAsia="Arial" w:hAnsi="Arial"/>
                <w:sz w:val="19"/>
                <w:szCs w:val="19"/>
                <w:color w:val="auto"/>
              </w:rPr>
              <w:t>Asset-backed securities</w:t>
            </w:r>
          </w:p>
        </w:tc>
        <w:tc>
          <w:tcPr>
            <w:tcW w:w="220" w:type="dxa"/>
            <w:vAlign w:val="bottom"/>
            <w:shd w:val="clear" w:color="auto" w:fill="D4EFF3"/>
          </w:tcPr>
          <w:p>
            <w:pPr>
              <w:spacing w:after="0"/>
              <w:rPr>
                <w:sz w:val="24"/>
                <w:szCs w:val="24"/>
                <w:color w:val="auto"/>
              </w:rPr>
            </w:pPr>
          </w:p>
        </w:tc>
        <w:tc>
          <w:tcPr>
            <w:tcW w:w="11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6,484</w:t>
            </w:r>
          </w:p>
        </w:tc>
        <w:tc>
          <w:tcPr>
            <w:tcW w:w="240" w:type="dxa"/>
            <w:vAlign w:val="bottom"/>
            <w:shd w:val="clear" w:color="auto" w:fill="D4EFF3"/>
          </w:tcPr>
          <w:p>
            <w:pPr>
              <w:spacing w:after="0"/>
              <w:rPr>
                <w:sz w:val="24"/>
                <w:szCs w:val="24"/>
                <w:color w:val="auto"/>
              </w:rPr>
            </w:pPr>
          </w:p>
        </w:tc>
        <w:tc>
          <w:tcPr>
            <w:tcW w:w="220" w:type="dxa"/>
            <w:vAlign w:val="bottom"/>
            <w:shd w:val="clear" w:color="auto" w:fill="D4EFF3"/>
          </w:tcPr>
          <w:p>
            <w:pPr>
              <w:spacing w:after="0"/>
              <w:rPr>
                <w:sz w:val="24"/>
                <w:szCs w:val="24"/>
                <w:color w:val="auto"/>
              </w:rPr>
            </w:pPr>
          </w:p>
        </w:tc>
        <w:tc>
          <w:tcPr>
            <w:tcW w:w="114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40</w:t>
            </w:r>
          </w:p>
        </w:tc>
        <w:tc>
          <w:tcPr>
            <w:tcW w:w="240" w:type="dxa"/>
            <w:vAlign w:val="bottom"/>
            <w:shd w:val="clear" w:color="auto" w:fill="D4EFF3"/>
          </w:tcPr>
          <w:p>
            <w:pPr>
              <w:spacing w:after="0"/>
              <w:rPr>
                <w:sz w:val="24"/>
                <w:szCs w:val="24"/>
                <w:color w:val="auto"/>
              </w:rPr>
            </w:pPr>
          </w:p>
        </w:tc>
        <w:tc>
          <w:tcPr>
            <w:tcW w:w="300" w:type="dxa"/>
            <w:vAlign w:val="bottom"/>
            <w:shd w:val="clear" w:color="auto" w:fill="D4EFF3"/>
          </w:tcPr>
          <w:p>
            <w:pPr>
              <w:spacing w:after="0"/>
              <w:rPr>
                <w:sz w:val="24"/>
                <w:szCs w:val="24"/>
                <w:color w:val="auto"/>
              </w:rPr>
            </w:pPr>
          </w:p>
        </w:tc>
        <w:tc>
          <w:tcPr>
            <w:tcW w:w="1080" w:type="dxa"/>
            <w:vAlign w:val="bottom"/>
            <w:shd w:val="clear" w:color="auto" w:fill="D4EFF3"/>
          </w:tcPr>
          <w:p>
            <w:pPr>
              <w:jc w:val="right"/>
              <w:ind w:right="26"/>
              <w:spacing w:after="0"/>
              <w:rPr>
                <w:sz w:val="20"/>
                <w:szCs w:val="20"/>
                <w:color w:val="auto"/>
              </w:rPr>
            </w:pPr>
            <w:r>
              <w:rPr>
                <w:rFonts w:ascii="Arial" w:cs="Arial" w:eastAsia="Arial" w:hAnsi="Arial"/>
                <w:sz w:val="19"/>
                <w:szCs w:val="19"/>
                <w:color w:val="auto"/>
              </w:rPr>
              <w:t>—</w:t>
            </w:r>
          </w:p>
        </w:tc>
        <w:tc>
          <w:tcPr>
            <w:tcW w:w="240" w:type="dxa"/>
            <w:vAlign w:val="bottom"/>
            <w:shd w:val="clear" w:color="auto" w:fill="D4EFF3"/>
          </w:tcPr>
          <w:p>
            <w:pPr>
              <w:spacing w:after="0"/>
              <w:rPr>
                <w:sz w:val="24"/>
                <w:szCs w:val="24"/>
                <w:color w:val="auto"/>
              </w:rPr>
            </w:pPr>
          </w:p>
        </w:tc>
        <w:tc>
          <w:tcPr>
            <w:tcW w:w="240" w:type="dxa"/>
            <w:vAlign w:val="bottom"/>
            <w:shd w:val="clear" w:color="auto" w:fill="D4EFF3"/>
          </w:tcPr>
          <w:p>
            <w:pPr>
              <w:spacing w:after="0"/>
              <w:rPr>
                <w:sz w:val="24"/>
                <w:szCs w:val="24"/>
                <w:color w:val="auto"/>
              </w:rPr>
            </w:pPr>
          </w:p>
        </w:tc>
        <w:tc>
          <w:tcPr>
            <w:tcW w:w="112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6,524</w:t>
            </w:r>
          </w:p>
        </w:tc>
      </w:tr>
      <w:tr>
        <w:trPr>
          <w:trHeight w:val="264"/>
        </w:trPr>
        <w:tc>
          <w:tcPr>
            <w:tcW w:w="2440" w:type="dxa"/>
            <w:vAlign w:val="bottom"/>
            <w:tcBorders>
              <w:bottom w:val="single" w:sz="8" w:color="D4EFF3"/>
            </w:tcBorders>
          </w:tcPr>
          <w:p>
            <w:pPr>
              <w:ind w:left="20"/>
              <w:spacing w:after="0"/>
              <w:rPr>
                <w:sz w:val="20"/>
                <w:szCs w:val="20"/>
                <w:color w:val="auto"/>
              </w:rPr>
            </w:pPr>
            <w:r>
              <w:rPr>
                <w:rFonts w:ascii="Arial" w:cs="Arial" w:eastAsia="Arial" w:hAnsi="Arial"/>
                <w:sz w:val="19"/>
                <w:szCs w:val="19"/>
                <w:color w:val="auto"/>
              </w:rPr>
              <w:t>U.S. government treasuries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4,408</w:t>
            </w:r>
          </w:p>
        </w:tc>
        <w:tc>
          <w:tcPr>
            <w:tcW w:w="240" w:type="dxa"/>
            <w:vAlign w:val="bottom"/>
            <w:tcBorders>
              <w:bottom w:val="single" w:sz="8" w:color="D4EFF3"/>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w:t>
            </w:r>
          </w:p>
        </w:tc>
        <w:tc>
          <w:tcPr>
            <w:tcW w:w="240" w:type="dxa"/>
            <w:vAlign w:val="bottom"/>
            <w:tcBorders>
              <w:bottom w:val="single" w:sz="8" w:color="D4EFF3"/>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240" w:type="dxa"/>
            <w:vAlign w:val="bottom"/>
            <w:tcBorders>
              <w:bottom w:val="single" w:sz="8" w:color="D4EFF3"/>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4,399</w:t>
            </w:r>
          </w:p>
        </w:tc>
      </w:tr>
      <w:tr>
        <w:trPr>
          <w:trHeight w:val="262"/>
        </w:trPr>
        <w:tc>
          <w:tcPr>
            <w:tcW w:w="2440" w:type="dxa"/>
            <w:vAlign w:val="bottom"/>
            <w:tcBorders>
              <w:bottom w:val="single" w:sz="8" w:color="D4EFF3"/>
            </w:tcBorders>
            <w:shd w:val="clear" w:color="auto" w:fill="D4EFF3"/>
          </w:tcPr>
          <w:p>
            <w:pPr>
              <w:ind w:left="320"/>
              <w:spacing w:after="0"/>
              <w:rPr>
                <w:sz w:val="20"/>
                <w:szCs w:val="20"/>
                <w:color w:val="auto"/>
              </w:rPr>
            </w:pPr>
            <w:r>
              <w:rPr>
                <w:rFonts w:ascii="Arial" w:cs="Arial" w:eastAsia="Arial" w:hAnsi="Arial"/>
                <w:sz w:val="19"/>
                <w:szCs w:val="19"/>
                <w:color w:val="auto"/>
              </w:rPr>
              <w:t>Total assets</w:t>
            </w:r>
          </w:p>
        </w:tc>
        <w:tc>
          <w:tcPr>
            <w:tcW w:w="22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83,029</w:t>
            </w:r>
          </w:p>
        </w:tc>
        <w:tc>
          <w:tcPr>
            <w:tcW w:w="240" w:type="dxa"/>
            <w:vAlign w:val="bottom"/>
            <w:tcBorders>
              <w:bottom w:val="single" w:sz="8" w:color="D4EFF3"/>
            </w:tcBorders>
            <w:shd w:val="clear" w:color="auto" w:fill="D4EFF3"/>
          </w:tcPr>
          <w:p>
            <w:pPr>
              <w:spacing w:after="0"/>
              <w:rPr>
                <w:sz w:val="22"/>
                <w:szCs w:val="22"/>
                <w:color w:val="auto"/>
              </w:rPr>
            </w:pPr>
          </w:p>
        </w:tc>
        <w:tc>
          <w:tcPr>
            <w:tcW w:w="22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230</w:t>
            </w:r>
          </w:p>
        </w:tc>
        <w:tc>
          <w:tcPr>
            <w:tcW w:w="240" w:type="dxa"/>
            <w:vAlign w:val="bottom"/>
            <w:tcBorders>
              <w:bottom w:val="single" w:sz="8" w:color="D4EFF3"/>
            </w:tcBorders>
            <w:shd w:val="clear" w:color="auto" w:fill="D4EFF3"/>
          </w:tcPr>
          <w:p>
            <w:pPr>
              <w:spacing w:after="0"/>
              <w:rPr>
                <w:sz w:val="22"/>
                <w:szCs w:val="22"/>
                <w:color w:val="auto"/>
              </w:rPr>
            </w:pPr>
          </w:p>
        </w:tc>
        <w:tc>
          <w:tcPr>
            <w:tcW w:w="3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(20)</w:t>
            </w:r>
          </w:p>
        </w:tc>
        <w:tc>
          <w:tcPr>
            <w:tcW w:w="240" w:type="dxa"/>
            <w:vAlign w:val="bottom"/>
            <w:tcBorders>
              <w:bottom w:val="single" w:sz="8" w:color="D4EFF3"/>
            </w:tcBorders>
            <w:shd w:val="clear" w:color="auto" w:fill="D4EFF3"/>
          </w:tcPr>
          <w:p>
            <w:pPr>
              <w:spacing w:after="0"/>
              <w:rPr>
                <w:sz w:val="22"/>
                <w:szCs w:val="22"/>
                <w:color w:val="auto"/>
              </w:rPr>
            </w:pPr>
          </w:p>
        </w:tc>
        <w:tc>
          <w:tcPr>
            <w:tcW w:w="24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83,239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5883275</wp:posOffset>
                </wp:positionH>
                <wp:positionV relativeFrom="paragraph">
                  <wp:posOffset>-1241425</wp:posOffset>
                </wp:positionV>
                <wp:extent cx="0" cy="127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12">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97.7499pt" to="463.25pt,-96.74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-198120</wp:posOffset>
                </wp:positionV>
                <wp:extent cx="0" cy="1270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12">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15.5999pt" to="463.25pt,-14.59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-24130</wp:posOffset>
                </wp:positionV>
                <wp:extent cx="0" cy="2413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30"/>
                        </a:xfrm>
                        <a:prstGeom prst="line">
                          <a:avLst/>
                        </a:prstGeom>
                        <a:solidFill>
                          <a:srgbClr val="FFFFFF"/>
                        </a:solidFill>
                        <a:ln w="12">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1.8999pt" to="463.25pt,0pt" o:allowincell="f" strokecolor="#000000" strokeweight="0.0009pt"/>
            </w:pict>
          </mc:Fallback>
        </mc:AlternateContent>
      </w:r>
    </w:p>
    <w:p>
      <w:pPr>
        <w:spacing w:after="0" w:line="200" w:lineRule="exact"/>
        <w:rPr>
          <w:sz w:val="20"/>
          <w:szCs w:val="20"/>
          <w:color w:val="auto"/>
        </w:rPr>
      </w:pPr>
    </w:p>
    <w:p>
      <w:pPr>
        <w:spacing w:after="0" w:line="322" w:lineRule="exact"/>
        <w:rPr>
          <w:sz w:val="20"/>
          <w:szCs w:val="20"/>
          <w:color w:val="auto"/>
        </w:rPr>
      </w:pPr>
    </w:p>
    <w:tbl>
      <w:tblPr>
        <w:tblLayout w:type="fixed"/>
        <w:tblInd w:w="580" w:type="dxa"/>
        <w:tblCellMar>
          <w:top w:w="0" w:type="dxa"/>
          <w:left w:w="0" w:type="dxa"/>
          <w:bottom w:w="0" w:type="dxa"/>
          <w:right w:w="0" w:type="dxa"/>
        </w:tblCellMar>
      </w:tblPr>
      <w:tr>
        <w:trPr>
          <w:trHeight w:val="260"/>
        </w:trPr>
        <w:tc>
          <w:tcPr>
            <w:tcW w:w="39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20"/>
                <w:szCs w:val="20"/>
                <w:b w:val="1"/>
                <w:bCs w:val="1"/>
                <w:color w:val="auto"/>
              </w:rPr>
              <w:t>As of December 31,</w:t>
            </w:r>
          </w:p>
        </w:tc>
      </w:tr>
      <w:tr>
        <w:trPr>
          <w:trHeight w:val="278"/>
        </w:trPr>
        <w:tc>
          <w:tcPr>
            <w:tcW w:w="3900" w:type="dxa"/>
            <w:vAlign w:val="bottom"/>
            <w:tcBorders>
              <w:bottom w:val="single" w:sz="8" w:color="D4EFF3"/>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2025</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2024</w:t>
            </w:r>
          </w:p>
        </w:tc>
      </w:tr>
      <w:tr>
        <w:trPr>
          <w:trHeight w:val="288"/>
        </w:trPr>
        <w:tc>
          <w:tcPr>
            <w:tcW w:w="3900" w:type="dxa"/>
            <w:vAlign w:val="bottom"/>
            <w:shd w:val="clear" w:color="auto" w:fill="D4EFF3"/>
          </w:tcPr>
          <w:p>
            <w:pPr>
              <w:ind w:left="40"/>
              <w:spacing w:after="0"/>
              <w:rPr>
                <w:sz w:val="20"/>
                <w:szCs w:val="20"/>
                <w:color w:val="auto"/>
              </w:rPr>
            </w:pPr>
            <w:r>
              <w:rPr>
                <w:rFonts w:ascii="Arial" w:cs="Arial" w:eastAsia="Arial" w:hAnsi="Arial"/>
                <w:sz w:val="20"/>
                <w:szCs w:val="20"/>
                <w:color w:val="auto"/>
              </w:rPr>
              <w:t>Maturing in one year or less</w:t>
            </w:r>
          </w:p>
        </w:tc>
        <w:tc>
          <w:tcPr>
            <w:tcW w:w="440" w:type="dxa"/>
            <w:vAlign w:val="bottom"/>
            <w:shd w:val="clear" w:color="auto" w:fill="D4EFF3"/>
          </w:tcPr>
          <w:p>
            <w:pPr>
              <w:spacing w:after="0"/>
              <w:rPr>
                <w:sz w:val="24"/>
                <w:szCs w:val="24"/>
                <w:color w:val="auto"/>
              </w:rPr>
            </w:pPr>
          </w:p>
        </w:tc>
        <w:tc>
          <w:tcPr>
            <w:tcW w:w="1280" w:type="dxa"/>
            <w:vAlign w:val="bottom"/>
            <w:shd w:val="clear" w:color="auto" w:fill="D4EFF3"/>
          </w:tcPr>
          <w:p>
            <w:pPr>
              <w:jc w:val="right"/>
              <w:ind w:right="21"/>
              <w:spacing w:after="0"/>
              <w:rPr>
                <w:sz w:val="20"/>
                <w:szCs w:val="20"/>
                <w:color w:val="auto"/>
              </w:rPr>
            </w:pPr>
            <w:r>
              <w:rPr>
                <w:rFonts w:ascii="Arial" w:cs="Arial" w:eastAsia="Arial" w:hAnsi="Arial"/>
                <w:sz w:val="20"/>
                <w:szCs w:val="20"/>
                <w:color w:val="auto"/>
              </w:rPr>
              <w:t>126,119</w:t>
            </w:r>
          </w:p>
        </w:tc>
        <w:tc>
          <w:tcPr>
            <w:tcW w:w="420" w:type="dxa"/>
            <w:vAlign w:val="bottom"/>
            <w:shd w:val="clear" w:color="auto" w:fill="D4EFF3"/>
          </w:tcPr>
          <w:p>
            <w:pPr>
              <w:spacing w:after="0"/>
              <w:rPr>
                <w:sz w:val="24"/>
                <w:szCs w:val="24"/>
                <w:color w:val="auto"/>
              </w:rPr>
            </w:pPr>
          </w:p>
        </w:tc>
        <w:tc>
          <w:tcPr>
            <w:tcW w:w="1280" w:type="dxa"/>
            <w:vAlign w:val="bottom"/>
            <w:shd w:val="clear" w:color="auto" w:fill="D4EFF3"/>
          </w:tcPr>
          <w:p>
            <w:pPr>
              <w:jc w:val="right"/>
              <w:ind w:right="1"/>
              <w:spacing w:after="0"/>
              <w:rPr>
                <w:sz w:val="20"/>
                <w:szCs w:val="20"/>
                <w:color w:val="auto"/>
              </w:rPr>
            </w:pPr>
            <w:r>
              <w:rPr>
                <w:rFonts w:ascii="Arial" w:cs="Arial" w:eastAsia="Arial" w:hAnsi="Arial"/>
                <w:sz w:val="20"/>
                <w:szCs w:val="20"/>
                <w:color w:val="auto"/>
              </w:rPr>
              <w:t>56,386</w:t>
            </w:r>
          </w:p>
        </w:tc>
      </w:tr>
      <w:tr>
        <w:trPr>
          <w:trHeight w:val="268"/>
        </w:trPr>
        <w:tc>
          <w:tcPr>
            <w:tcW w:w="3900" w:type="dxa"/>
            <w:vAlign w:val="bottom"/>
            <w:tcBorders>
              <w:bottom w:val="single" w:sz="8" w:color="D4EFF3"/>
            </w:tcBorders>
          </w:tcPr>
          <w:p>
            <w:pPr>
              <w:ind w:left="40"/>
              <w:spacing w:after="0"/>
              <w:rPr>
                <w:sz w:val="20"/>
                <w:szCs w:val="20"/>
                <w:color w:val="auto"/>
              </w:rPr>
            </w:pPr>
            <w:r>
              <w:rPr>
                <w:rFonts w:ascii="Arial" w:cs="Arial" w:eastAsia="Arial" w:hAnsi="Arial"/>
                <w:sz w:val="20"/>
                <w:szCs w:val="20"/>
                <w:color w:val="auto"/>
              </w:rPr>
              <w:t>Maturing after one year through two years</w:t>
            </w:r>
          </w:p>
        </w:tc>
        <w:tc>
          <w:tcPr>
            <w:tcW w:w="4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52,144</w:t>
            </w:r>
          </w:p>
        </w:tc>
        <w:tc>
          <w:tcPr>
            <w:tcW w:w="4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26,853</w:t>
            </w:r>
          </w:p>
        </w:tc>
      </w:tr>
      <w:tr>
        <w:trPr>
          <w:trHeight w:val="288"/>
        </w:trPr>
        <w:tc>
          <w:tcPr>
            <w:tcW w:w="390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Total</w:t>
            </w:r>
          </w:p>
        </w:tc>
        <w:tc>
          <w:tcPr>
            <w:tcW w:w="440" w:type="dxa"/>
            <w:vAlign w:val="bottom"/>
            <w:tcBorders>
              <w:bottom w:val="single" w:sz="8" w:color="auto"/>
            </w:tcBorders>
            <w:shd w:val="clear" w:color="auto" w:fill="D4EFF3"/>
          </w:tcPr>
          <w:p>
            <w:pPr>
              <w:jc w:val="right"/>
              <w:ind w:right="10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D4EFF3"/>
          </w:tcPr>
          <w:p>
            <w:pPr>
              <w:jc w:val="right"/>
              <w:ind w:right="21"/>
              <w:spacing w:after="0"/>
              <w:rPr>
                <w:sz w:val="20"/>
                <w:szCs w:val="20"/>
                <w:color w:val="auto"/>
              </w:rPr>
            </w:pPr>
            <w:r>
              <w:rPr>
                <w:rFonts w:ascii="Arial" w:cs="Arial" w:eastAsia="Arial" w:hAnsi="Arial"/>
                <w:sz w:val="20"/>
                <w:szCs w:val="20"/>
                <w:color w:val="auto"/>
              </w:rPr>
              <w:t>178,263</w:t>
            </w:r>
          </w:p>
        </w:tc>
        <w:tc>
          <w:tcPr>
            <w:tcW w:w="420" w:type="dxa"/>
            <w:vAlign w:val="bottom"/>
            <w:tcBorders>
              <w:bottom w:val="single" w:sz="8" w:color="auto"/>
            </w:tcBorders>
            <w:shd w:val="clear" w:color="auto" w:fill="D4EFF3"/>
          </w:tcPr>
          <w:p>
            <w:pPr>
              <w:jc w:val="right"/>
              <w:ind w:right="12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D4EFF3"/>
          </w:tcPr>
          <w:p>
            <w:pPr>
              <w:jc w:val="right"/>
              <w:ind w:right="1"/>
              <w:spacing w:after="0"/>
              <w:rPr>
                <w:sz w:val="20"/>
                <w:szCs w:val="20"/>
                <w:color w:val="auto"/>
              </w:rPr>
            </w:pPr>
            <w:r>
              <w:rPr>
                <w:rFonts w:ascii="Arial" w:cs="Arial" w:eastAsia="Arial" w:hAnsi="Arial"/>
                <w:sz w:val="20"/>
                <w:szCs w:val="20"/>
                <w:color w:val="auto"/>
              </w:rPr>
              <w:t>83,239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5017135</wp:posOffset>
                </wp:positionH>
                <wp:positionV relativeFrom="paragraph">
                  <wp:posOffset>-568325</wp:posOffset>
                </wp:positionV>
                <wp:extent cx="0" cy="56261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2610"/>
                        </a:xfrm>
                        <a:prstGeom prst="line">
                          <a:avLst/>
                        </a:prstGeom>
                        <a:solidFill>
                          <a:srgbClr val="FFFFFF"/>
                        </a:solidFill>
                        <a:ln w="6337">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05pt,-44.7499pt" to="395.05pt,-0.4499pt" o:allowincell="f" strokecolor="#FFFFFF" strokeweight="0.499pt"/>
            </w:pict>
          </mc:Fallback>
        </mc:AlternateContent>
        <mc:AlternateContent>
          <mc:Choice Requires="wps">
            <w:drawing>
              <wp:anchor simplePos="0" relativeHeight="251657728" behindDoc="1" locked="0" layoutInCell="0" allowOverlap="1">
                <wp:simplePos x="0" y="0"/>
                <wp:positionH relativeFrom="column">
                  <wp:posOffset>5020310</wp:posOffset>
                </wp:positionH>
                <wp:positionV relativeFrom="paragraph">
                  <wp:posOffset>-24765</wp:posOffset>
                </wp:positionV>
                <wp:extent cx="0" cy="2476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232">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3pt,-1.9499pt" to="395.3pt,0pt" o:allowincell="f" strokecolor="#000000" strokeweight="0.018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2240" w:h="15840" w:orient="portrait"/>
          <w:cols w:equalWidth="0" w:num="1">
            <w:col w:w="9360"/>
          </w:cols>
          <w:pgMar w:left="1440" w:top="1420" w:right="1440" w:bottom="393" w:gutter="0" w:footer="0" w:header="0"/>
        </w:sectPr>
      </w:pPr>
    </w:p>
    <w:bookmarkStart w:id="118" w:name="page119"/>
    <w:bookmarkEnd w:id="118"/>
    <w:p>
      <w:pPr>
        <w:spacing w:after="0"/>
        <w:tabs>
          <w:tab w:leader="none" w:pos="460" w:val="left"/>
        </w:tabs>
        <w:rPr>
          <w:sz w:val="20"/>
          <w:szCs w:val="20"/>
          <w:color w:val="auto"/>
        </w:rPr>
      </w:pPr>
      <w:r>
        <w:rPr>
          <w:rFonts w:ascii="Arial" w:cs="Arial" w:eastAsia="Arial" w:hAnsi="Arial"/>
          <w:sz w:val="20"/>
          <w:szCs w:val="20"/>
          <w:b w:val="1"/>
          <w:bCs w:val="1"/>
          <w:color w:val="auto"/>
        </w:rPr>
        <w:t>6.</w:t>
        <w:tab/>
        <w:t>Property and Equipment</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Property and equipment consist of the following:</w:t>
      </w:r>
    </w:p>
    <w:p>
      <w:pPr>
        <w:spacing w:after="0" w:line="296" w:lineRule="exact"/>
        <w:rPr>
          <w:sz w:val="20"/>
          <w:szCs w:val="20"/>
          <w:color w:val="auto"/>
        </w:rPr>
      </w:pPr>
    </w:p>
    <w:tbl>
      <w:tblPr>
        <w:tblLayout w:type="fixed"/>
        <w:tblInd w:w="74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6"/>
                <w:szCs w:val="16"/>
                <w:b w:val="1"/>
                <w:bCs w:val="1"/>
                <w:color w:val="auto"/>
              </w:rPr>
              <w:t>December 31,</w:t>
            </w:r>
          </w:p>
        </w:tc>
      </w:tr>
      <w:tr>
        <w:trPr>
          <w:trHeight w:val="189"/>
        </w:trPr>
        <w:tc>
          <w:tcPr>
            <w:tcW w:w="4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2024</w:t>
            </w:r>
          </w:p>
        </w:tc>
      </w:tr>
      <w:tr>
        <w:trPr>
          <w:trHeight w:val="189"/>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(000's)</w:t>
            </w:r>
          </w:p>
        </w:tc>
        <w:tc>
          <w:tcPr>
            <w:tcW w:w="840" w:type="dxa"/>
            <w:vAlign w:val="bottom"/>
          </w:tcPr>
          <w:p>
            <w:pPr>
              <w:spacing w:after="0"/>
              <w:rPr>
                <w:sz w:val="16"/>
                <w:szCs w:val="16"/>
                <w:color w:val="auto"/>
              </w:rPr>
            </w:pPr>
          </w:p>
        </w:tc>
      </w:tr>
      <w:tr>
        <w:trPr>
          <w:trHeight w:val="259"/>
        </w:trPr>
        <w:tc>
          <w:tcPr>
            <w:tcW w:w="4620" w:type="dxa"/>
            <w:vAlign w:val="bottom"/>
            <w:shd w:val="clear" w:color="auto" w:fill="D4EFF3"/>
          </w:tcPr>
          <w:p>
            <w:pPr>
              <w:ind w:left="40"/>
              <w:spacing w:after="0"/>
              <w:rPr>
                <w:sz w:val="20"/>
                <w:szCs w:val="20"/>
                <w:color w:val="auto"/>
              </w:rPr>
            </w:pPr>
            <w:r>
              <w:rPr>
                <w:rFonts w:ascii="Arial" w:cs="Arial" w:eastAsia="Arial" w:hAnsi="Arial"/>
                <w:sz w:val="20"/>
                <w:szCs w:val="20"/>
                <w:color w:val="auto"/>
              </w:rPr>
              <w:t>Equipment</w:t>
            </w:r>
          </w:p>
        </w:tc>
        <w:tc>
          <w:tcPr>
            <w:tcW w:w="320" w:type="dxa"/>
            <w:vAlign w:val="bottom"/>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4EFF3"/>
          </w:tcPr>
          <w:p>
            <w:pPr>
              <w:jc w:val="right"/>
              <w:ind w:right="26"/>
              <w:spacing w:after="0"/>
              <w:rPr>
                <w:sz w:val="20"/>
                <w:szCs w:val="20"/>
                <w:color w:val="auto"/>
              </w:rPr>
            </w:pPr>
            <w:r>
              <w:rPr>
                <w:rFonts w:ascii="Arial" w:cs="Arial" w:eastAsia="Arial" w:hAnsi="Arial"/>
                <w:sz w:val="20"/>
                <w:szCs w:val="20"/>
                <w:color w:val="auto"/>
              </w:rPr>
              <w:t>4,741</w:t>
            </w:r>
          </w:p>
        </w:tc>
        <w:tc>
          <w:tcPr>
            <w:tcW w:w="480" w:type="dxa"/>
            <w:vAlign w:val="bottom"/>
            <w:gridSpan w:val="2"/>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4EFF3"/>
          </w:tcPr>
          <w:p>
            <w:pPr>
              <w:jc w:val="right"/>
              <w:ind w:right="3"/>
              <w:spacing w:after="0"/>
              <w:rPr>
                <w:sz w:val="20"/>
                <w:szCs w:val="20"/>
                <w:color w:val="auto"/>
              </w:rPr>
            </w:pPr>
            <w:r>
              <w:rPr>
                <w:rFonts w:ascii="Arial" w:cs="Arial" w:eastAsia="Arial" w:hAnsi="Arial"/>
                <w:sz w:val="20"/>
                <w:szCs w:val="20"/>
                <w:color w:val="auto"/>
              </w:rPr>
              <w:t>4,716</w:t>
            </w:r>
          </w:p>
        </w:tc>
      </w:tr>
      <w:tr>
        <w:trPr>
          <w:trHeight w:val="239"/>
        </w:trPr>
        <w:tc>
          <w:tcPr>
            <w:tcW w:w="4620" w:type="dxa"/>
            <w:vAlign w:val="bottom"/>
          </w:tcPr>
          <w:p>
            <w:pPr>
              <w:ind w:left="40"/>
              <w:spacing w:after="0"/>
              <w:rPr>
                <w:sz w:val="20"/>
                <w:szCs w:val="20"/>
                <w:color w:val="auto"/>
              </w:rPr>
            </w:pPr>
            <w:r>
              <w:rPr>
                <w:rFonts w:ascii="Arial" w:cs="Arial" w:eastAsia="Arial" w:hAnsi="Arial"/>
                <w:sz w:val="20"/>
                <w:szCs w:val="20"/>
                <w:color w:val="auto"/>
              </w:rPr>
              <w:t>Furniture and fixtures</w:t>
            </w:r>
          </w:p>
        </w:tc>
        <w:tc>
          <w:tcPr>
            <w:tcW w:w="32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20"/>
                <w:szCs w:val="20"/>
                <w:color w:val="auto"/>
              </w:rPr>
              <w:t>22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color w:val="auto"/>
              </w:rPr>
              <w:t>22</w:t>
            </w:r>
          </w:p>
        </w:tc>
      </w:tr>
      <w:tr>
        <w:trPr>
          <w:trHeight w:val="259"/>
        </w:trPr>
        <w:tc>
          <w:tcPr>
            <w:tcW w:w="4620" w:type="dxa"/>
            <w:vAlign w:val="bottom"/>
            <w:shd w:val="clear" w:color="auto" w:fill="D4EFF3"/>
          </w:tcPr>
          <w:p>
            <w:pPr>
              <w:ind w:left="40"/>
              <w:spacing w:after="0"/>
              <w:rPr>
                <w:sz w:val="20"/>
                <w:szCs w:val="20"/>
                <w:color w:val="auto"/>
              </w:rPr>
            </w:pPr>
            <w:r>
              <w:rPr>
                <w:rFonts w:ascii="Arial" w:cs="Arial" w:eastAsia="Arial" w:hAnsi="Arial"/>
                <w:sz w:val="20"/>
                <w:szCs w:val="20"/>
                <w:color w:val="auto"/>
              </w:rPr>
              <w:t>Leasehold improvements</w:t>
            </w:r>
          </w:p>
        </w:tc>
        <w:tc>
          <w:tcPr>
            <w:tcW w:w="320" w:type="dxa"/>
            <w:vAlign w:val="bottom"/>
            <w:shd w:val="clear" w:color="auto" w:fill="D4EFF3"/>
          </w:tcPr>
          <w:p>
            <w:pPr>
              <w:spacing w:after="0"/>
              <w:rPr>
                <w:sz w:val="22"/>
                <w:szCs w:val="22"/>
                <w:color w:val="auto"/>
              </w:rPr>
            </w:pPr>
          </w:p>
        </w:tc>
        <w:tc>
          <w:tcPr>
            <w:tcW w:w="840" w:type="dxa"/>
            <w:vAlign w:val="bottom"/>
            <w:shd w:val="clear" w:color="auto" w:fill="D4EFF3"/>
          </w:tcPr>
          <w:p>
            <w:pPr>
              <w:jc w:val="right"/>
              <w:ind w:right="26"/>
              <w:spacing w:after="0"/>
              <w:rPr>
                <w:sz w:val="20"/>
                <w:szCs w:val="20"/>
                <w:color w:val="auto"/>
              </w:rPr>
            </w:pPr>
            <w:r>
              <w:rPr>
                <w:rFonts w:ascii="Arial" w:cs="Arial" w:eastAsia="Arial" w:hAnsi="Arial"/>
                <w:sz w:val="20"/>
                <w:szCs w:val="20"/>
                <w:color w:val="auto"/>
              </w:rPr>
              <w:t>1,612</w:t>
            </w:r>
          </w:p>
        </w:tc>
        <w:tc>
          <w:tcPr>
            <w:tcW w:w="160" w:type="dxa"/>
            <w:vAlign w:val="bottom"/>
            <w:shd w:val="clear" w:color="auto" w:fill="D4EFF3"/>
          </w:tcPr>
          <w:p>
            <w:pPr>
              <w:spacing w:after="0"/>
              <w:rPr>
                <w:sz w:val="22"/>
                <w:szCs w:val="22"/>
                <w:color w:val="auto"/>
              </w:rPr>
            </w:pPr>
          </w:p>
        </w:tc>
        <w:tc>
          <w:tcPr>
            <w:tcW w:w="320" w:type="dxa"/>
            <w:vAlign w:val="bottom"/>
            <w:shd w:val="clear" w:color="auto" w:fill="D4EFF3"/>
          </w:tcPr>
          <w:p>
            <w:pPr>
              <w:spacing w:after="0"/>
              <w:rPr>
                <w:sz w:val="22"/>
                <w:szCs w:val="22"/>
                <w:color w:val="auto"/>
              </w:rPr>
            </w:pPr>
          </w:p>
        </w:tc>
        <w:tc>
          <w:tcPr>
            <w:tcW w:w="840" w:type="dxa"/>
            <w:vAlign w:val="bottom"/>
            <w:shd w:val="clear" w:color="auto" w:fill="D4EFF3"/>
          </w:tcPr>
          <w:p>
            <w:pPr>
              <w:jc w:val="right"/>
              <w:ind w:right="3"/>
              <w:spacing w:after="0"/>
              <w:rPr>
                <w:sz w:val="20"/>
                <w:szCs w:val="20"/>
                <w:color w:val="auto"/>
              </w:rPr>
            </w:pPr>
            <w:r>
              <w:rPr>
                <w:rFonts w:ascii="Arial" w:cs="Arial" w:eastAsia="Arial" w:hAnsi="Arial"/>
                <w:sz w:val="20"/>
                <w:szCs w:val="20"/>
                <w:color w:val="auto"/>
              </w:rPr>
              <w:t>1,612</w:t>
            </w:r>
          </w:p>
        </w:tc>
      </w:tr>
      <w:tr>
        <w:trPr>
          <w:trHeight w:val="264"/>
        </w:trPr>
        <w:tc>
          <w:tcPr>
            <w:tcW w:w="4620" w:type="dxa"/>
            <w:vAlign w:val="bottom"/>
            <w:tcBorders>
              <w:bottom w:val="single" w:sz="8" w:color="D4EFF3"/>
            </w:tcBorders>
          </w:tcPr>
          <w:p>
            <w:pPr>
              <w:ind w:left="40"/>
              <w:spacing w:after="0"/>
              <w:rPr>
                <w:sz w:val="20"/>
                <w:szCs w:val="20"/>
                <w:color w:val="auto"/>
              </w:rPr>
            </w:pPr>
            <w:r>
              <w:rPr>
                <w:rFonts w:ascii="Arial" w:cs="Arial" w:eastAsia="Arial" w:hAnsi="Arial"/>
                <w:sz w:val="20"/>
                <w:szCs w:val="20"/>
                <w:color w:val="auto"/>
              </w:rPr>
              <w:t>Software</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20"/>
                <w:szCs w:val="20"/>
                <w:color w:val="auto"/>
              </w:rPr>
              <w:t>364</w:t>
            </w:r>
          </w:p>
        </w:tc>
        <w:tc>
          <w:tcPr>
            <w:tcW w:w="160" w:type="dxa"/>
            <w:vAlign w:val="bottom"/>
            <w:tcBorders>
              <w:bottom w:val="single" w:sz="8" w:color="D4EFF3"/>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364</w:t>
            </w:r>
          </w:p>
        </w:tc>
      </w:tr>
      <w:tr>
        <w:trPr>
          <w:trHeight w:val="219"/>
        </w:trPr>
        <w:tc>
          <w:tcPr>
            <w:tcW w:w="4620" w:type="dxa"/>
            <w:vAlign w:val="bottom"/>
            <w:tcBorders>
              <w:top w:val="single" w:sz="8" w:color="D4EFF3"/>
            </w:tcBorders>
            <w:shd w:val="clear" w:color="auto" w:fill="D4EFF3"/>
          </w:tcPr>
          <w:p>
            <w:pPr>
              <w:ind w:left="340"/>
              <w:spacing w:after="0" w:line="219" w:lineRule="exact"/>
              <w:rPr>
                <w:sz w:val="20"/>
                <w:szCs w:val="20"/>
                <w:color w:val="auto"/>
              </w:rPr>
            </w:pPr>
            <w:r>
              <w:rPr>
                <w:rFonts w:ascii="Arial" w:cs="Arial" w:eastAsia="Arial" w:hAnsi="Arial"/>
                <w:sz w:val="20"/>
                <w:szCs w:val="20"/>
                <w:color w:val="auto"/>
              </w:rPr>
              <w:t>Total property and equipment–at cost</w:t>
            </w:r>
          </w:p>
        </w:tc>
        <w:tc>
          <w:tcPr>
            <w:tcW w:w="320" w:type="dxa"/>
            <w:vAlign w:val="bottom"/>
            <w:tcBorders>
              <w:top w:val="single" w:sz="8" w:color="D4EFF3"/>
            </w:tcBorders>
            <w:shd w:val="clear" w:color="auto" w:fill="D4EFF3"/>
          </w:tcPr>
          <w:p>
            <w:pPr>
              <w:spacing w:after="0"/>
              <w:rPr>
                <w:sz w:val="19"/>
                <w:szCs w:val="19"/>
                <w:color w:val="auto"/>
              </w:rPr>
            </w:pPr>
          </w:p>
        </w:tc>
        <w:tc>
          <w:tcPr>
            <w:tcW w:w="840" w:type="dxa"/>
            <w:vAlign w:val="bottom"/>
            <w:tcBorders>
              <w:top w:val="single" w:sz="8" w:color="D4EFF3"/>
            </w:tcBorders>
            <w:shd w:val="clear" w:color="auto" w:fill="D4EFF3"/>
          </w:tcPr>
          <w:p>
            <w:pPr>
              <w:jc w:val="right"/>
              <w:ind w:right="26"/>
              <w:spacing w:after="0" w:line="219" w:lineRule="exact"/>
              <w:rPr>
                <w:sz w:val="20"/>
                <w:szCs w:val="20"/>
                <w:color w:val="auto"/>
              </w:rPr>
            </w:pPr>
            <w:r>
              <w:rPr>
                <w:rFonts w:ascii="Arial" w:cs="Arial" w:eastAsia="Arial" w:hAnsi="Arial"/>
                <w:sz w:val="20"/>
                <w:szCs w:val="20"/>
                <w:color w:val="auto"/>
              </w:rPr>
              <w:t>6,739</w:t>
            </w:r>
          </w:p>
        </w:tc>
        <w:tc>
          <w:tcPr>
            <w:tcW w:w="160" w:type="dxa"/>
            <w:vAlign w:val="bottom"/>
            <w:tcBorders>
              <w:top w:val="single" w:sz="8" w:color="D4EFF3"/>
            </w:tcBorders>
            <w:shd w:val="clear" w:color="auto" w:fill="D4EFF3"/>
          </w:tcPr>
          <w:p>
            <w:pPr>
              <w:spacing w:after="0"/>
              <w:rPr>
                <w:sz w:val="19"/>
                <w:szCs w:val="19"/>
                <w:color w:val="auto"/>
              </w:rPr>
            </w:pPr>
          </w:p>
        </w:tc>
        <w:tc>
          <w:tcPr>
            <w:tcW w:w="320" w:type="dxa"/>
            <w:vAlign w:val="bottom"/>
            <w:tcBorders>
              <w:top w:val="single" w:sz="8" w:color="auto"/>
            </w:tcBorders>
            <w:shd w:val="clear" w:color="auto" w:fill="D4EFF3"/>
          </w:tcPr>
          <w:p>
            <w:pPr>
              <w:spacing w:after="0"/>
              <w:rPr>
                <w:sz w:val="19"/>
                <w:szCs w:val="19"/>
                <w:color w:val="auto"/>
              </w:rPr>
            </w:pPr>
          </w:p>
        </w:tc>
        <w:tc>
          <w:tcPr>
            <w:tcW w:w="840" w:type="dxa"/>
            <w:vAlign w:val="bottom"/>
            <w:tcBorders>
              <w:top w:val="single" w:sz="8" w:color="auto"/>
            </w:tcBorders>
            <w:shd w:val="clear" w:color="auto" w:fill="D4EFF3"/>
          </w:tcPr>
          <w:p>
            <w:pPr>
              <w:jc w:val="right"/>
              <w:ind w:right="3"/>
              <w:spacing w:after="0" w:line="219" w:lineRule="exact"/>
              <w:rPr>
                <w:sz w:val="20"/>
                <w:szCs w:val="20"/>
                <w:color w:val="auto"/>
              </w:rPr>
            </w:pPr>
            <w:r>
              <w:rPr>
                <w:rFonts w:ascii="Arial" w:cs="Arial" w:eastAsia="Arial" w:hAnsi="Arial"/>
                <w:sz w:val="20"/>
                <w:szCs w:val="20"/>
                <w:color w:val="auto"/>
              </w:rPr>
              <w:t>6,714</w:t>
            </w:r>
          </w:p>
        </w:tc>
      </w:tr>
      <w:tr>
        <w:trPr>
          <w:trHeight w:val="264"/>
        </w:trPr>
        <w:tc>
          <w:tcPr>
            <w:tcW w:w="4620" w:type="dxa"/>
            <w:vAlign w:val="bottom"/>
            <w:tcBorders>
              <w:bottom w:val="single" w:sz="8" w:color="D4EFF3"/>
            </w:tcBorders>
          </w:tcPr>
          <w:p>
            <w:pPr>
              <w:ind w:left="40"/>
              <w:spacing w:after="0"/>
              <w:rPr>
                <w:sz w:val="20"/>
                <w:szCs w:val="20"/>
                <w:color w:val="auto"/>
              </w:rPr>
            </w:pPr>
            <w:r>
              <w:rPr>
                <w:rFonts w:ascii="Arial" w:cs="Arial" w:eastAsia="Arial" w:hAnsi="Arial"/>
                <w:sz w:val="20"/>
                <w:szCs w:val="20"/>
                <w:color w:val="auto"/>
              </w:rPr>
              <w:t>Less: Accumulated depreciation and amortization</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(6,637)</w:t>
            </w:r>
          </w:p>
        </w:tc>
        <w:tc>
          <w:tcPr>
            <w:tcW w:w="160" w:type="dxa"/>
            <w:vAlign w:val="bottom"/>
            <w:tcBorders>
              <w:bottom w:val="single" w:sz="8" w:color="D4EFF3"/>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(6,361)</w:t>
            </w:r>
          </w:p>
        </w:tc>
      </w:tr>
      <w:tr>
        <w:trPr>
          <w:trHeight w:val="219"/>
        </w:trPr>
        <w:tc>
          <w:tcPr>
            <w:tcW w:w="4620" w:type="dxa"/>
            <w:vAlign w:val="bottom"/>
            <w:tcBorders>
              <w:top w:val="single" w:sz="8" w:color="D4EFF3"/>
              <w:bottom w:val="single" w:sz="8" w:color="D4EFF3"/>
            </w:tcBorders>
            <w:shd w:val="clear" w:color="auto" w:fill="D4EFF3"/>
          </w:tcPr>
          <w:p>
            <w:pPr>
              <w:ind w:left="340"/>
              <w:spacing w:after="0" w:line="209" w:lineRule="exact"/>
              <w:rPr>
                <w:sz w:val="20"/>
                <w:szCs w:val="20"/>
                <w:color w:val="auto"/>
              </w:rPr>
            </w:pPr>
            <w:r>
              <w:rPr>
                <w:rFonts w:ascii="Arial" w:cs="Arial" w:eastAsia="Arial" w:hAnsi="Arial"/>
                <w:sz w:val="20"/>
                <w:szCs w:val="20"/>
                <w:color w:val="auto"/>
              </w:rPr>
              <w:t>Property and equipment, net</w:t>
            </w:r>
          </w:p>
        </w:tc>
        <w:tc>
          <w:tcPr>
            <w:tcW w:w="320" w:type="dxa"/>
            <w:vAlign w:val="bottom"/>
            <w:tcBorders>
              <w:top w:val="single" w:sz="8" w:color="D4EFF3"/>
              <w:bottom w:val="single" w:sz="8" w:color="auto"/>
            </w:tcBorders>
            <w:shd w:val="clear" w:color="auto" w:fill="D4EFF3"/>
          </w:tcPr>
          <w:p>
            <w:pPr>
              <w:jc w:val="right"/>
              <w:spacing w:after="0" w:line="209" w:lineRule="exact"/>
              <w:rPr>
                <w:sz w:val="20"/>
                <w:szCs w:val="20"/>
                <w:color w:val="auto"/>
              </w:rPr>
            </w:pPr>
            <w:r>
              <w:rPr>
                <w:rFonts w:ascii="Arial" w:cs="Arial" w:eastAsia="Arial" w:hAnsi="Arial"/>
                <w:sz w:val="20"/>
                <w:szCs w:val="20"/>
                <w:color w:val="auto"/>
              </w:rPr>
              <w:t>$</w:t>
            </w:r>
          </w:p>
        </w:tc>
        <w:tc>
          <w:tcPr>
            <w:tcW w:w="840" w:type="dxa"/>
            <w:vAlign w:val="bottom"/>
            <w:tcBorders>
              <w:top w:val="single" w:sz="8" w:color="D4EFF3"/>
              <w:bottom w:val="single" w:sz="8" w:color="auto"/>
            </w:tcBorders>
            <w:shd w:val="clear" w:color="auto" w:fill="D4EFF3"/>
          </w:tcPr>
          <w:p>
            <w:pPr>
              <w:jc w:val="right"/>
              <w:ind w:right="26"/>
              <w:spacing w:after="0" w:line="209" w:lineRule="exact"/>
              <w:rPr>
                <w:sz w:val="20"/>
                <w:szCs w:val="20"/>
                <w:color w:val="auto"/>
              </w:rPr>
            </w:pPr>
            <w:r>
              <w:rPr>
                <w:rFonts w:ascii="Arial" w:cs="Arial" w:eastAsia="Arial" w:hAnsi="Arial"/>
                <w:sz w:val="20"/>
                <w:szCs w:val="20"/>
                <w:color w:val="auto"/>
              </w:rPr>
              <w:t>102</w:t>
            </w:r>
          </w:p>
        </w:tc>
        <w:tc>
          <w:tcPr>
            <w:tcW w:w="160" w:type="dxa"/>
            <w:vAlign w:val="bottom"/>
            <w:tcBorders>
              <w:top w:val="single" w:sz="8" w:color="D4EFF3"/>
              <w:bottom w:val="single" w:sz="8" w:color="D4EFF3"/>
            </w:tcBorders>
            <w:shd w:val="clear" w:color="auto" w:fill="D4EFF3"/>
          </w:tcPr>
          <w:p>
            <w:pPr>
              <w:spacing w:after="0"/>
              <w:rPr>
                <w:sz w:val="19"/>
                <w:szCs w:val="19"/>
                <w:color w:val="auto"/>
              </w:rPr>
            </w:pPr>
          </w:p>
        </w:tc>
        <w:tc>
          <w:tcPr>
            <w:tcW w:w="320" w:type="dxa"/>
            <w:vAlign w:val="bottom"/>
            <w:tcBorders>
              <w:top w:val="single" w:sz="8" w:color="auto"/>
              <w:bottom w:val="single" w:sz="8" w:color="auto"/>
            </w:tcBorders>
            <w:shd w:val="clear" w:color="auto" w:fill="D4EFF3"/>
          </w:tcPr>
          <w:p>
            <w:pPr>
              <w:jc w:val="right"/>
              <w:spacing w:after="0" w:line="209" w:lineRule="exact"/>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shd w:val="clear" w:color="auto" w:fill="D4EFF3"/>
          </w:tcPr>
          <w:p>
            <w:pPr>
              <w:jc w:val="right"/>
              <w:ind w:right="3"/>
              <w:spacing w:after="0" w:line="209" w:lineRule="exact"/>
              <w:rPr>
                <w:sz w:val="20"/>
                <w:szCs w:val="20"/>
                <w:color w:val="auto"/>
              </w:rPr>
            </w:pPr>
            <w:r>
              <w:rPr>
                <w:rFonts w:ascii="Arial" w:cs="Arial" w:eastAsia="Arial" w:hAnsi="Arial"/>
                <w:sz w:val="20"/>
                <w:szCs w:val="20"/>
                <w:color w:val="auto"/>
              </w:rPr>
              <w:t>353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4138930</wp:posOffset>
                </wp:positionH>
                <wp:positionV relativeFrom="paragraph">
                  <wp:posOffset>-1264920</wp:posOffset>
                </wp:positionV>
                <wp:extent cx="0" cy="1270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1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99.5999pt" to="325.9pt,-98.5999pt" o:allowincell="f" strokecolor="#000000" strokeweight="0.0165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-499745</wp:posOffset>
                </wp:positionV>
                <wp:extent cx="0" cy="127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1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39.3499pt" to="325.9pt,-38.3499pt" o:allowincell="f" strokecolor="#000000" strokeweight="0.0165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-182880</wp:posOffset>
                </wp:positionV>
                <wp:extent cx="0" cy="1206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21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14.3999pt" to="325.9pt,-13.4499pt" o:allowincell="f" strokecolor="#000000" strokeweight="0.0165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-24765</wp:posOffset>
                </wp:positionV>
                <wp:extent cx="0" cy="2476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21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1.9499pt" to="325.9pt,0pt" o:allowincell="f" strokecolor="#000000" strokeweight="0.0165pt"/>
            </w:pict>
          </mc:Fallback>
        </mc:AlternateContent>
        <mc:AlternateContent>
          <mc:Choice Requires="wps">
            <w:drawing>
              <wp:anchor simplePos="0" relativeHeight="251657728" behindDoc="1" locked="0" layoutInCell="0" allowOverlap="1">
                <wp:simplePos x="0" y="0"/>
                <wp:positionH relativeFrom="column">
                  <wp:posOffset>4982845</wp:posOffset>
                </wp:positionH>
                <wp:positionV relativeFrom="paragraph">
                  <wp:posOffset>-1397635</wp:posOffset>
                </wp:positionV>
                <wp:extent cx="0" cy="127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43">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35pt,-110.0499pt" to="392.35pt,-109.0499pt" o:allowincell="f" strokecolor="#000000" strokeweight="0.0191pt"/>
            </w:pict>
          </mc:Fallback>
        </mc:AlternateContent>
        <mc:AlternateContent>
          <mc:Choice Requires="wps">
            <w:drawing>
              <wp:anchor simplePos="0" relativeHeight="251657728" behindDoc="1" locked="0" layoutInCell="0" allowOverlap="1">
                <wp:simplePos x="0" y="0"/>
                <wp:positionH relativeFrom="column">
                  <wp:posOffset>4982845</wp:posOffset>
                </wp:positionH>
                <wp:positionV relativeFrom="paragraph">
                  <wp:posOffset>-1264920</wp:posOffset>
                </wp:positionV>
                <wp:extent cx="0" cy="1270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3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35pt,-99.5999pt" to="392.35pt,-98.5999pt" o:allowincell="f" strokecolor="#000000" strokeweight="0.0181pt"/>
            </w:pict>
          </mc:Fallback>
        </mc:AlternateContent>
        <mc:AlternateContent>
          <mc:Choice Requires="wps">
            <w:drawing>
              <wp:anchor simplePos="0" relativeHeight="251657728" behindDoc="1" locked="0" layoutInCell="0" allowOverlap="1">
                <wp:simplePos x="0" y="0"/>
                <wp:positionH relativeFrom="column">
                  <wp:posOffset>4982845</wp:posOffset>
                </wp:positionH>
                <wp:positionV relativeFrom="paragraph">
                  <wp:posOffset>-499745</wp:posOffset>
                </wp:positionV>
                <wp:extent cx="0" cy="127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3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35pt,-39.3499pt" to="392.35pt,-38.3499pt" o:allowincell="f" strokecolor="#000000" strokeweight="0.0181pt"/>
            </w:pict>
          </mc:Fallback>
        </mc:AlternateContent>
        <mc:AlternateContent>
          <mc:Choice Requires="wps">
            <w:drawing>
              <wp:anchor simplePos="0" relativeHeight="251657728" behindDoc="1" locked="0" layoutInCell="0" allowOverlap="1">
                <wp:simplePos x="0" y="0"/>
                <wp:positionH relativeFrom="column">
                  <wp:posOffset>4982845</wp:posOffset>
                </wp:positionH>
                <wp:positionV relativeFrom="paragraph">
                  <wp:posOffset>-182880</wp:posOffset>
                </wp:positionV>
                <wp:extent cx="0" cy="1206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065"/>
                        </a:xfrm>
                        <a:prstGeom prst="line">
                          <a:avLst/>
                        </a:prstGeom>
                        <a:solidFill>
                          <a:srgbClr val="FFFFFF"/>
                        </a:solidFill>
                        <a:ln w="23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35pt,-14.3999pt" to="392.35pt,-13.4499pt" o:allowincell="f" strokecolor="#000000" strokeweight="0.0181pt"/>
            </w:pict>
          </mc:Fallback>
        </mc:AlternateContent>
        <mc:AlternateContent>
          <mc:Choice Requires="wps">
            <w:drawing>
              <wp:anchor simplePos="0" relativeHeight="251657728" behindDoc="1" locked="0" layoutInCell="0" allowOverlap="1">
                <wp:simplePos x="0" y="0"/>
                <wp:positionH relativeFrom="column">
                  <wp:posOffset>4982845</wp:posOffset>
                </wp:positionH>
                <wp:positionV relativeFrom="paragraph">
                  <wp:posOffset>-24765</wp:posOffset>
                </wp:positionV>
                <wp:extent cx="0" cy="2476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
                        </a:xfrm>
                        <a:prstGeom prst="line">
                          <a:avLst/>
                        </a:prstGeom>
                        <a:solidFill>
                          <a:srgbClr val="FFFFFF"/>
                        </a:solidFill>
                        <a:ln w="23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35pt,-1.9499pt" to="392.35pt,0pt" o:allowincell="f" strokecolor="#000000" strokeweight="0.0181pt"/>
            </w:pict>
          </mc:Fallback>
        </mc:AlternateContent>
      </w:r>
    </w:p>
    <w:p>
      <w:pPr>
        <w:spacing w:after="0" w:line="258" w:lineRule="exact"/>
        <w:rPr>
          <w:sz w:val="20"/>
          <w:szCs w:val="20"/>
          <w:color w:val="auto"/>
        </w:rPr>
      </w:pPr>
    </w:p>
    <w:p>
      <w:pPr>
        <w:ind w:left="620" w:right="240"/>
        <w:spacing w:after="0" w:line="282" w:lineRule="auto"/>
        <w:rPr>
          <w:sz w:val="20"/>
          <w:szCs w:val="20"/>
          <w:color w:val="auto"/>
        </w:rPr>
      </w:pPr>
      <w:r>
        <w:rPr>
          <w:rFonts w:ascii="Arial" w:cs="Arial" w:eastAsia="Arial" w:hAnsi="Arial"/>
          <w:sz w:val="20"/>
          <w:szCs w:val="20"/>
          <w:color w:val="auto"/>
        </w:rPr>
        <w:t>Total depreciation and amortization expense for years ended December 31, 2025 and 2024, was $0.3 million and $0.6 million, respectively.</w:t>
      </w:r>
    </w:p>
    <w:p>
      <w:pPr>
        <w:spacing w:after="0" w:line="156" w:lineRule="exact"/>
        <w:rPr>
          <w:sz w:val="20"/>
          <w:szCs w:val="20"/>
          <w:color w:val="auto"/>
        </w:rPr>
      </w:pPr>
    </w:p>
    <w:p>
      <w:pPr>
        <w:ind w:left="500" w:hanging="498"/>
        <w:spacing w:after="0"/>
        <w:tabs>
          <w:tab w:leader="none" w:pos="50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Accrued Expenses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Accrued expenses consist of the following:</w:t>
      </w:r>
    </w:p>
    <w:p>
      <w:pPr>
        <w:spacing w:after="0" w:line="340"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28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2"/>
        </w:trPr>
        <w:tc>
          <w:tcPr>
            <w:tcW w:w="2820" w:type="dxa"/>
            <w:vAlign w:val="bottom"/>
            <w:vMerge w:val="restart"/>
          </w:tcPr>
          <w:p>
            <w:pPr>
              <w:ind w:left="20"/>
              <w:spacing w:after="0"/>
              <w:rPr>
                <w:sz w:val="20"/>
                <w:szCs w:val="20"/>
                <w:color w:val="auto"/>
              </w:rPr>
            </w:pPr>
            <w:r>
              <w:rPr>
                <w:rFonts w:ascii="Arial" w:cs="Arial" w:eastAsia="Arial" w:hAnsi="Arial"/>
                <w:sz w:val="19"/>
                <w:szCs w:val="19"/>
                <w:color w:val="auto"/>
              </w:rPr>
              <w:t>Project expenses</w:t>
            </w:r>
          </w:p>
        </w:tc>
        <w:tc>
          <w:tcPr>
            <w:tcW w:w="440" w:type="dxa"/>
            <w:vAlign w:val="bottom"/>
          </w:tcPr>
          <w:p>
            <w:pPr>
              <w:spacing w:after="0"/>
              <w:rPr>
                <w:sz w:val="20"/>
                <w:szCs w:val="20"/>
                <w:color w:val="auto"/>
              </w:rPr>
            </w:pPr>
          </w:p>
        </w:tc>
        <w:tc>
          <w:tcPr>
            <w:tcW w:w="1940" w:type="dxa"/>
            <w:vAlign w:val="bottom"/>
            <w:gridSpan w:val="3"/>
          </w:tcPr>
          <w:p>
            <w:pPr>
              <w:jc w:val="right"/>
              <w:ind w:right="283"/>
              <w:spacing w:after="0"/>
              <w:rPr>
                <w:sz w:val="20"/>
                <w:szCs w:val="20"/>
                <w:color w:val="auto"/>
              </w:rPr>
            </w:pPr>
            <w:r>
              <w:rPr>
                <w:rFonts w:ascii="Arial" w:cs="Arial" w:eastAsia="Arial" w:hAnsi="Arial"/>
                <w:sz w:val="16"/>
                <w:szCs w:val="16"/>
                <w:b w:val="1"/>
                <w:bCs w:val="1"/>
                <w:color w:val="auto"/>
              </w:rPr>
              <w:t>(000's)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820" w:type="dxa"/>
            <w:vAlign w:val="bottom"/>
            <w:vMerge w:val="continue"/>
          </w:tcPr>
          <w:p>
            <w:pPr>
              <w:spacing w:after="0"/>
              <w:rPr>
                <w:sz w:val="22"/>
                <w:szCs w:val="22"/>
                <w:color w:val="auto"/>
              </w:rPr>
            </w:pPr>
          </w:p>
        </w:tc>
        <w:tc>
          <w:tcPr>
            <w:tcW w:w="4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20" w:type="dxa"/>
            <w:vAlign w:val="bottom"/>
          </w:tcPr>
          <w:p>
            <w:pPr>
              <w:jc w:val="right"/>
              <w:ind w:right="30"/>
              <w:spacing w:after="0"/>
              <w:rPr>
                <w:sz w:val="20"/>
                <w:szCs w:val="20"/>
                <w:color w:val="auto"/>
              </w:rPr>
            </w:pPr>
            <w:r>
              <w:rPr>
                <w:rFonts w:ascii="Arial" w:cs="Arial" w:eastAsia="Arial" w:hAnsi="Arial"/>
                <w:sz w:val="19"/>
                <w:szCs w:val="19"/>
                <w:color w:val="auto"/>
              </w:rPr>
              <w:t>8,217</w:t>
            </w:r>
          </w:p>
        </w:tc>
        <w:tc>
          <w:tcPr>
            <w:tcW w:w="720" w:type="dxa"/>
            <w:vAlign w:val="bottom"/>
            <w:gridSpan w:val="2"/>
          </w:tcPr>
          <w:p>
            <w:pPr>
              <w:jc w:val="right"/>
              <w:ind w:right="263"/>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6"/>
              <w:spacing w:after="0"/>
              <w:rPr>
                <w:sz w:val="20"/>
                <w:szCs w:val="20"/>
                <w:color w:val="auto"/>
              </w:rPr>
            </w:pPr>
            <w:r>
              <w:rPr>
                <w:rFonts w:ascii="Arial" w:cs="Arial" w:eastAsia="Arial" w:hAnsi="Arial"/>
                <w:sz w:val="19"/>
                <w:szCs w:val="19"/>
                <w:color w:val="auto"/>
              </w:rPr>
              <w:t>2,873</w:t>
            </w:r>
          </w:p>
        </w:tc>
        <w:tc>
          <w:tcPr>
            <w:tcW w:w="0" w:type="dxa"/>
            <w:vAlign w:val="bottom"/>
          </w:tcPr>
          <w:p>
            <w:pPr>
              <w:spacing w:after="0"/>
              <w:rPr>
                <w:sz w:val="1"/>
                <w:szCs w:val="1"/>
                <w:color w:val="auto"/>
              </w:rPr>
            </w:pPr>
          </w:p>
        </w:tc>
      </w:tr>
      <w:tr>
        <w:trPr>
          <w:trHeight w:val="297"/>
        </w:trPr>
        <w:tc>
          <w:tcPr>
            <w:tcW w:w="2820" w:type="dxa"/>
            <w:vAlign w:val="bottom"/>
            <w:shd w:val="clear" w:color="auto" w:fill="D4EFF3"/>
          </w:tcPr>
          <w:p>
            <w:pPr>
              <w:ind w:left="20"/>
              <w:spacing w:after="0"/>
              <w:rPr>
                <w:sz w:val="20"/>
                <w:szCs w:val="20"/>
                <w:color w:val="auto"/>
              </w:rPr>
            </w:pPr>
            <w:r>
              <w:rPr>
                <w:rFonts w:ascii="Arial" w:cs="Arial" w:eastAsia="Arial" w:hAnsi="Arial"/>
                <w:sz w:val="19"/>
                <w:szCs w:val="19"/>
                <w:color w:val="auto"/>
              </w:rPr>
              <w:t>Compensation and benefits</w:t>
            </w:r>
          </w:p>
        </w:tc>
        <w:tc>
          <w:tcPr>
            <w:tcW w:w="440" w:type="dxa"/>
            <w:vAlign w:val="bottom"/>
            <w:shd w:val="clear" w:color="auto" w:fill="D4EFF3"/>
          </w:tcPr>
          <w:p>
            <w:pPr>
              <w:spacing w:after="0"/>
              <w:rPr>
                <w:sz w:val="24"/>
                <w:szCs w:val="24"/>
                <w:color w:val="auto"/>
              </w:rPr>
            </w:pPr>
          </w:p>
        </w:tc>
        <w:tc>
          <w:tcPr>
            <w:tcW w:w="1220" w:type="dxa"/>
            <w:vAlign w:val="bottom"/>
            <w:shd w:val="clear" w:color="auto" w:fill="D4EFF3"/>
          </w:tcPr>
          <w:p>
            <w:pPr>
              <w:jc w:val="right"/>
              <w:ind w:right="30"/>
              <w:spacing w:after="0"/>
              <w:rPr>
                <w:sz w:val="20"/>
                <w:szCs w:val="20"/>
                <w:color w:val="auto"/>
              </w:rPr>
            </w:pPr>
            <w:r>
              <w:rPr>
                <w:rFonts w:ascii="Arial" w:cs="Arial" w:eastAsia="Arial" w:hAnsi="Arial"/>
                <w:sz w:val="19"/>
                <w:szCs w:val="19"/>
                <w:color w:val="auto"/>
              </w:rPr>
              <w:t>2,682</w:t>
            </w:r>
          </w:p>
        </w:tc>
        <w:tc>
          <w:tcPr>
            <w:tcW w:w="140" w:type="dxa"/>
            <w:vAlign w:val="bottom"/>
            <w:shd w:val="clear" w:color="auto" w:fill="D4EFF3"/>
          </w:tcPr>
          <w:p>
            <w:pPr>
              <w:spacing w:after="0"/>
              <w:rPr>
                <w:sz w:val="24"/>
                <w:szCs w:val="24"/>
                <w:color w:val="auto"/>
              </w:rPr>
            </w:pPr>
          </w:p>
        </w:tc>
        <w:tc>
          <w:tcPr>
            <w:tcW w:w="580" w:type="dxa"/>
            <w:vAlign w:val="bottom"/>
            <w:shd w:val="clear" w:color="auto" w:fill="D4EFF3"/>
          </w:tcPr>
          <w:p>
            <w:pPr>
              <w:spacing w:after="0"/>
              <w:rPr>
                <w:sz w:val="24"/>
                <w:szCs w:val="24"/>
                <w:color w:val="auto"/>
              </w:rPr>
            </w:pPr>
          </w:p>
        </w:tc>
        <w:tc>
          <w:tcPr>
            <w:tcW w:w="106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2,793</w:t>
            </w:r>
          </w:p>
        </w:tc>
        <w:tc>
          <w:tcPr>
            <w:tcW w:w="0" w:type="dxa"/>
            <w:vAlign w:val="bottom"/>
          </w:tcPr>
          <w:p>
            <w:pPr>
              <w:spacing w:after="0"/>
              <w:rPr>
                <w:sz w:val="1"/>
                <w:szCs w:val="1"/>
                <w:color w:val="auto"/>
              </w:rPr>
            </w:pPr>
          </w:p>
        </w:tc>
      </w:tr>
      <w:tr>
        <w:trPr>
          <w:trHeight w:val="262"/>
        </w:trPr>
        <w:tc>
          <w:tcPr>
            <w:tcW w:w="2820" w:type="dxa"/>
            <w:vAlign w:val="bottom"/>
            <w:tcBorders>
              <w:bottom w:val="single" w:sz="8" w:color="D4EFF3"/>
            </w:tcBorders>
          </w:tcPr>
          <w:p>
            <w:pPr>
              <w:ind w:left="20"/>
              <w:spacing w:after="0"/>
              <w:rPr>
                <w:sz w:val="20"/>
                <w:szCs w:val="20"/>
                <w:color w:val="auto"/>
              </w:rPr>
            </w:pPr>
            <w:r>
              <w:rPr>
                <w:rFonts w:ascii="Arial" w:cs="Arial" w:eastAsia="Arial" w:hAnsi="Arial"/>
                <w:sz w:val="19"/>
                <w:szCs w:val="19"/>
                <w:color w:val="auto"/>
              </w:rPr>
              <w:t>Other</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9"/>
                <w:szCs w:val="19"/>
                <w:color w:val="auto"/>
              </w:rPr>
              <w:t>484</w:t>
            </w:r>
          </w:p>
        </w:tc>
        <w:tc>
          <w:tcPr>
            <w:tcW w:w="140" w:type="dxa"/>
            <w:vAlign w:val="bottom"/>
            <w:tcBorders>
              <w:bottom w:val="single" w:sz="8" w:color="D4EFF3"/>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621</w:t>
            </w:r>
          </w:p>
        </w:tc>
        <w:tc>
          <w:tcPr>
            <w:tcW w:w="0" w:type="dxa"/>
            <w:vAlign w:val="bottom"/>
          </w:tcPr>
          <w:p>
            <w:pPr>
              <w:spacing w:after="0"/>
              <w:rPr>
                <w:sz w:val="1"/>
                <w:szCs w:val="1"/>
                <w:color w:val="auto"/>
              </w:rPr>
            </w:pPr>
          </w:p>
        </w:tc>
      </w:tr>
      <w:tr>
        <w:trPr>
          <w:trHeight w:val="292"/>
        </w:trPr>
        <w:tc>
          <w:tcPr>
            <w:tcW w:w="2820" w:type="dxa"/>
            <w:vAlign w:val="bottom"/>
            <w:tcBorders>
              <w:bottom w:val="single" w:sz="8" w:color="D4EFF3"/>
            </w:tcBorders>
            <w:shd w:val="clear" w:color="auto" w:fill="D4EFF3"/>
          </w:tcPr>
          <w:p>
            <w:pPr>
              <w:ind w:left="300"/>
              <w:spacing w:after="0"/>
              <w:rPr>
                <w:sz w:val="20"/>
                <w:szCs w:val="20"/>
                <w:color w:val="auto"/>
              </w:rPr>
            </w:pPr>
            <w:r>
              <w:rPr>
                <w:rFonts w:ascii="Arial" w:cs="Arial" w:eastAsia="Arial" w:hAnsi="Arial"/>
                <w:sz w:val="19"/>
                <w:szCs w:val="19"/>
                <w:color w:val="auto"/>
              </w:rPr>
              <w:t>Total accrued expenses</w:t>
            </w:r>
          </w:p>
        </w:tc>
        <w:tc>
          <w:tcPr>
            <w:tcW w:w="440" w:type="dxa"/>
            <w:vAlign w:val="bottom"/>
            <w:tcBorders>
              <w:bottom w:val="single" w:sz="8" w:color="auto"/>
            </w:tcBorders>
            <w:shd w:val="clear" w:color="auto" w:fill="D4EFF3"/>
          </w:tcPr>
          <w:p>
            <w:pPr>
              <w:jc w:val="right"/>
              <w:ind w:right="103"/>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shd w:val="clear" w:color="auto" w:fill="D4EFF3"/>
          </w:tcPr>
          <w:p>
            <w:pPr>
              <w:jc w:val="right"/>
              <w:ind w:right="30"/>
              <w:spacing w:after="0"/>
              <w:rPr>
                <w:sz w:val="20"/>
                <w:szCs w:val="20"/>
                <w:color w:val="auto"/>
              </w:rPr>
            </w:pPr>
            <w:r>
              <w:rPr>
                <w:rFonts w:ascii="Arial" w:cs="Arial" w:eastAsia="Arial" w:hAnsi="Arial"/>
                <w:sz w:val="19"/>
                <w:szCs w:val="19"/>
                <w:color w:val="auto"/>
              </w:rPr>
              <w:t>11,383</w:t>
            </w:r>
          </w:p>
        </w:tc>
        <w:tc>
          <w:tcPr>
            <w:tcW w:w="140" w:type="dxa"/>
            <w:vAlign w:val="bottom"/>
            <w:tcBorders>
              <w:bottom w:val="single" w:sz="8" w:color="D4EFF3"/>
            </w:tcBorders>
            <w:shd w:val="clear" w:color="auto" w:fill="D4EFF3"/>
          </w:tcPr>
          <w:p>
            <w:pPr>
              <w:spacing w:after="0"/>
              <w:rPr>
                <w:sz w:val="24"/>
                <w:szCs w:val="24"/>
                <w:color w:val="auto"/>
              </w:rPr>
            </w:pPr>
          </w:p>
        </w:tc>
        <w:tc>
          <w:tcPr>
            <w:tcW w:w="580" w:type="dxa"/>
            <w:vAlign w:val="bottom"/>
            <w:tcBorders>
              <w:bottom w:val="single" w:sz="8" w:color="auto"/>
            </w:tcBorders>
            <w:shd w:val="clear" w:color="auto" w:fill="D4EFF3"/>
          </w:tcPr>
          <w:p>
            <w:pPr>
              <w:jc w:val="right"/>
              <w:ind w:right="263"/>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6,287</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20" w:right="120"/>
        <w:spacing w:after="0" w:line="261" w:lineRule="auto"/>
        <w:rPr>
          <w:sz w:val="20"/>
          <w:szCs w:val="20"/>
          <w:color w:val="auto"/>
        </w:rPr>
      </w:pPr>
      <w:r>
        <w:rPr>
          <w:rFonts w:ascii="Arial" w:cs="Arial" w:eastAsia="Arial" w:hAnsi="Arial"/>
          <w:sz w:val="20"/>
          <w:szCs w:val="20"/>
          <w:color w:val="auto"/>
        </w:rPr>
        <w:t>Project expenses in 2025 were primarily made up of $7.9 million of accrued manufacturing expenses related to tovecimig and CTX- 10726. Project expenses in 2024 were primarily made up of $2.6 million of accrued manufacturing expenses related to minimum contractual obligations.</w:t>
      </w:r>
    </w:p>
    <w:p>
      <w:pPr>
        <w:spacing w:after="0" w:line="177" w:lineRule="exact"/>
        <w:rPr>
          <w:sz w:val="20"/>
          <w:szCs w:val="20"/>
          <w:color w:val="auto"/>
        </w:rPr>
      </w:pPr>
    </w:p>
    <w:p>
      <w:pPr>
        <w:ind w:left="620" w:hanging="580"/>
        <w:spacing w:after="0"/>
        <w:tabs>
          <w:tab w:leader="none" w:pos="6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w:t>
      </w:r>
    </w:p>
    <w:p>
      <w:pPr>
        <w:spacing w:after="0" w:line="241" w:lineRule="exact"/>
        <w:rPr>
          <w:rFonts w:ascii="Arial" w:cs="Arial" w:eastAsia="Arial" w:hAnsi="Arial"/>
          <w:sz w:val="20"/>
          <w:szCs w:val="20"/>
          <w:b w:val="1"/>
          <w:bCs w:val="1"/>
          <w:color w:val="auto"/>
        </w:rPr>
      </w:pPr>
    </w:p>
    <w:p>
      <w:pPr>
        <w:ind w:left="62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On August 12, 2025, the Company entered into an underwriting agreement (the “Underwriting Agreement”) with Jefferies LLC, Piper Sandler &amp; Co., and Guggenheim Securities, LLC, as representatives (the “Representatives”) of the underwriters named therein (the “Underwriters”), pursuant to which the Company agreed to issue and sell an aggregate of (a) 33,290,000 shares (the “Firm Shares”) of its common stock, par value $0.0001 per share (the “Common Stock”), at a price to the public of $3.00 per share, and (b) pre-funded warrants to purchase up to 6,710,000 shares of the Company’s Common Stock (the “Pre-Funded Warrants”), at a price to the public of $2.9999 per warrant with an exercise price of $0.0001 per share (the “Offering”). Pursuant to the Underwriting Agreement, the Company granted the underwriters a 30-day option, which the underwriters exercised, to purchase up to an additional 6,000,000 shares of its Common Stock (the “Optional Shares”, and together with the Firm Shares, the “Shares”) at the public offering price, less underwriting discounts and commissions. The Company received aggregate net proceeds of $129.3 million, after deducting underwriting discounts and commissions of $8.3 million and other offering costs of $0.4 million.</w:t>
      </w:r>
    </w:p>
    <w:p>
      <w:pPr>
        <w:spacing w:after="0" w:line="201" w:lineRule="exact"/>
        <w:rPr>
          <w:rFonts w:ascii="Arial" w:cs="Arial" w:eastAsia="Arial" w:hAnsi="Arial"/>
          <w:sz w:val="20"/>
          <w:szCs w:val="20"/>
          <w:b w:val="1"/>
          <w:bCs w:val="1"/>
          <w:color w:val="auto"/>
        </w:rPr>
      </w:pPr>
    </w:p>
    <w:p>
      <w:pPr>
        <w:ind w:left="620" w:right="80"/>
        <w:spacing w:after="0" w:line="310" w:lineRule="auto"/>
        <w:rPr>
          <w:rFonts w:ascii="Arial" w:cs="Arial" w:eastAsia="Arial" w:hAnsi="Arial"/>
          <w:sz w:val="20"/>
          <w:szCs w:val="20"/>
          <w:b w:val="1"/>
          <w:bCs w:val="1"/>
          <w:color w:val="auto"/>
        </w:rPr>
      </w:pPr>
      <w:r>
        <w:rPr>
          <w:rFonts w:ascii="Arial" w:cs="Arial" w:eastAsia="Arial" w:hAnsi="Arial"/>
          <w:sz w:val="19"/>
          <w:szCs w:val="19"/>
          <w:color w:val="auto"/>
        </w:rPr>
        <w:t>The 2025 Pre-Funded Warrants were determined to be equity classified. Accordingly, proceeds from the offering were allocated to common stock, the 2025 Pre-Funded Warrants on a relative fair</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117</w:t>
      </w:r>
    </w:p>
    <w:p>
      <w:pPr>
        <w:sectPr>
          <w:pgSz w:w="12240" w:h="15840" w:orient="portrait"/>
          <w:cols w:equalWidth="0" w:num="1">
            <w:col w:w="9400"/>
          </w:cols>
          <w:pgMar w:left="1400" w:top="1416" w:right="1440" w:bottom="393" w:gutter="0" w:footer="0" w:header="0"/>
        </w:sectPr>
      </w:pPr>
    </w:p>
    <w:bookmarkStart w:id="119" w:name="page120"/>
    <w:bookmarkEnd w:id="119"/>
    <w:p>
      <w:pPr>
        <w:ind w:left="580" w:right="280"/>
        <w:spacing w:after="0" w:line="282" w:lineRule="auto"/>
        <w:rPr>
          <w:sz w:val="20"/>
          <w:szCs w:val="20"/>
          <w:color w:val="auto"/>
        </w:rPr>
      </w:pPr>
      <w:r>
        <w:rPr>
          <w:rFonts w:ascii="Arial" w:cs="Arial" w:eastAsia="Arial" w:hAnsi="Arial"/>
          <w:sz w:val="20"/>
          <w:szCs w:val="20"/>
          <w:color w:val="auto"/>
        </w:rPr>
        <w:t>value basis and were recorded in stockholders’ equity. As of December 31, 2025, all of the 2025 Pre-Funded Warrants remain outstanding.</w:t>
      </w:r>
    </w:p>
    <w:p>
      <w:pPr>
        <w:spacing w:after="0" w:line="158" w:lineRule="exact"/>
        <w:rPr>
          <w:sz w:val="20"/>
          <w:szCs w:val="20"/>
          <w:color w:val="auto"/>
        </w:rPr>
      </w:pPr>
    </w:p>
    <w:p>
      <w:pPr>
        <w:jc w:val="both"/>
        <w:ind w:left="580" w:right="360"/>
        <w:spacing w:after="0" w:line="261" w:lineRule="auto"/>
        <w:rPr>
          <w:sz w:val="20"/>
          <w:szCs w:val="20"/>
          <w:color w:val="auto"/>
        </w:rPr>
      </w:pPr>
      <w:r>
        <w:rPr>
          <w:rFonts w:ascii="Arial" w:cs="Arial" w:eastAsia="Arial" w:hAnsi="Arial"/>
          <w:sz w:val="20"/>
          <w:szCs w:val="20"/>
          <w:color w:val="auto"/>
        </w:rPr>
        <w:t>In the first quarter of 2024, the Company sold through its Jefferies ATM Agreement, 9,790,577 shares of common stock at an average price of $1.85 for total proceeds of $18.1 million and net proceeds of $17.6 million.</w:t>
      </w:r>
    </w:p>
    <w:p>
      <w:pPr>
        <w:spacing w:after="0" w:line="177" w:lineRule="exact"/>
        <w:rPr>
          <w:sz w:val="20"/>
          <w:szCs w:val="20"/>
          <w:color w:val="auto"/>
        </w:rPr>
      </w:pPr>
    </w:p>
    <w:p>
      <w:pPr>
        <w:ind w:left="580" w:hanging="580"/>
        <w:spacing w:after="0"/>
        <w:tabs>
          <w:tab w:leader="none" w:pos="58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Stock-Based Compensation</w:t>
      </w:r>
    </w:p>
    <w:p>
      <w:pPr>
        <w:spacing w:after="0" w:line="244" w:lineRule="exact"/>
        <w:rPr>
          <w:sz w:val="20"/>
          <w:szCs w:val="20"/>
          <w:color w:val="auto"/>
        </w:rPr>
      </w:pPr>
    </w:p>
    <w:p>
      <w:pPr>
        <w:ind w:left="580" w:right="680"/>
        <w:spacing w:after="0" w:line="266" w:lineRule="auto"/>
        <w:rPr>
          <w:sz w:val="20"/>
          <w:szCs w:val="20"/>
          <w:color w:val="auto"/>
        </w:rPr>
      </w:pPr>
      <w:r>
        <w:rPr>
          <w:rFonts w:ascii="Arial" w:cs="Arial" w:eastAsia="Arial" w:hAnsi="Arial"/>
          <w:sz w:val="20"/>
          <w:szCs w:val="20"/>
          <w:color w:val="auto"/>
        </w:rPr>
        <w:t>Stock-based compensation expense for the years ended December 31, 2025 and 2024 was classified in the consolidated statements of operations as follows:</w:t>
      </w:r>
    </w:p>
    <w:tbl>
      <w:tblPr>
        <w:tblLayout w:type="fixed"/>
        <w:tblInd w:w="540" w:type="dxa"/>
        <w:tblCellMar>
          <w:top w:w="0" w:type="dxa"/>
          <w:left w:w="0" w:type="dxa"/>
          <w:bottom w:w="0" w:type="dxa"/>
          <w:right w:w="0" w:type="dxa"/>
        </w:tblCellMar>
      </w:tblPr>
      <w:tr>
        <w:trPr>
          <w:trHeight w:val="209"/>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ind w:left="352"/>
              <w:spacing w:after="0"/>
              <w:rPr>
                <w:sz w:val="20"/>
                <w:szCs w:val="20"/>
                <w:color w:val="auto"/>
              </w:rPr>
            </w:pPr>
            <w:r>
              <w:rPr>
                <w:rFonts w:ascii="Arial" w:cs="Arial" w:eastAsia="Arial" w:hAnsi="Arial"/>
                <w:sz w:val="16"/>
                <w:szCs w:val="16"/>
                <w:b w:val="1"/>
                <w:bCs w:val="1"/>
                <w:color w:val="auto"/>
                <w:w w:val="97"/>
              </w:rPr>
              <w:t>Year Ended</w:t>
            </w:r>
          </w:p>
        </w:tc>
        <w:tc>
          <w:tcPr>
            <w:tcW w:w="780" w:type="dxa"/>
            <w:vAlign w:val="bottom"/>
          </w:tcPr>
          <w:p>
            <w:pPr>
              <w:spacing w:after="0"/>
              <w:rPr>
                <w:sz w:val="18"/>
                <w:szCs w:val="18"/>
                <w:color w:val="auto"/>
              </w:rPr>
            </w:pPr>
          </w:p>
        </w:tc>
      </w:tr>
      <w:tr>
        <w:trPr>
          <w:trHeight w:val="198"/>
        </w:trPr>
        <w:tc>
          <w:tcPr>
            <w:tcW w:w="2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25"/>
              <w:spacing w:after="0"/>
              <w:rPr>
                <w:sz w:val="20"/>
                <w:szCs w:val="20"/>
                <w:color w:val="auto"/>
              </w:rPr>
            </w:pPr>
            <w:r>
              <w:rPr>
                <w:rFonts w:ascii="Arial" w:cs="Arial" w:eastAsia="Arial" w:hAnsi="Arial"/>
                <w:sz w:val="16"/>
                <w:szCs w:val="16"/>
                <w:b w:val="1"/>
                <w:bCs w:val="1"/>
                <w:color w:val="auto"/>
                <w:w w:val="99"/>
              </w:rPr>
              <w:t>December 31,</w:t>
            </w:r>
          </w:p>
        </w:tc>
      </w:tr>
      <w:tr>
        <w:trPr>
          <w:trHeight w:val="199"/>
        </w:trPr>
        <w:tc>
          <w:tcPr>
            <w:tcW w:w="2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2024</w:t>
            </w:r>
          </w:p>
        </w:tc>
      </w:tr>
      <w:tr>
        <w:trPr>
          <w:trHeight w:val="209"/>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ind w:left="352"/>
              <w:spacing w:after="0"/>
              <w:rPr>
                <w:sz w:val="20"/>
                <w:szCs w:val="20"/>
                <w:color w:val="auto"/>
              </w:rPr>
            </w:pPr>
            <w:r>
              <w:rPr>
                <w:rFonts w:ascii="Arial" w:cs="Arial" w:eastAsia="Arial" w:hAnsi="Arial"/>
                <w:sz w:val="16"/>
                <w:szCs w:val="16"/>
                <w:b w:val="1"/>
                <w:bCs w:val="1"/>
                <w:color w:val="auto"/>
                <w:w w:val="99"/>
              </w:rPr>
              <w:t>(000's)</w:t>
            </w:r>
          </w:p>
        </w:tc>
        <w:tc>
          <w:tcPr>
            <w:tcW w:w="780" w:type="dxa"/>
            <w:vAlign w:val="bottom"/>
          </w:tcPr>
          <w:p>
            <w:pPr>
              <w:spacing w:after="0"/>
              <w:rPr>
                <w:sz w:val="18"/>
                <w:szCs w:val="18"/>
                <w:color w:val="auto"/>
              </w:rPr>
            </w:pPr>
          </w:p>
        </w:tc>
      </w:tr>
      <w:tr>
        <w:trPr>
          <w:trHeight w:val="259"/>
        </w:trPr>
        <w:tc>
          <w:tcPr>
            <w:tcW w:w="2860" w:type="dxa"/>
            <w:vAlign w:val="bottom"/>
            <w:shd w:val="clear" w:color="auto" w:fill="D4EFF3"/>
          </w:tcPr>
          <w:p>
            <w:pPr>
              <w:ind w:left="40"/>
              <w:spacing w:after="0"/>
              <w:rPr>
                <w:sz w:val="20"/>
                <w:szCs w:val="20"/>
                <w:color w:val="auto"/>
              </w:rPr>
            </w:pPr>
            <w:r>
              <w:rPr>
                <w:rFonts w:ascii="Arial" w:cs="Arial" w:eastAsia="Arial" w:hAnsi="Arial"/>
                <w:sz w:val="20"/>
                <w:szCs w:val="20"/>
                <w:color w:val="auto"/>
              </w:rPr>
              <w:t>Research and development</w:t>
            </w:r>
          </w:p>
        </w:tc>
        <w:tc>
          <w:tcPr>
            <w:tcW w:w="340" w:type="dxa"/>
            <w:vAlign w:val="bottom"/>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4EFF3"/>
          </w:tcPr>
          <w:p>
            <w:pPr>
              <w:jc w:val="right"/>
              <w:ind w:right="32"/>
              <w:spacing w:after="0"/>
              <w:rPr>
                <w:sz w:val="20"/>
                <w:szCs w:val="20"/>
                <w:color w:val="auto"/>
              </w:rPr>
            </w:pPr>
            <w:r>
              <w:rPr>
                <w:rFonts w:ascii="Arial" w:cs="Arial" w:eastAsia="Arial" w:hAnsi="Arial"/>
                <w:sz w:val="20"/>
                <w:szCs w:val="20"/>
                <w:color w:val="auto"/>
              </w:rPr>
              <w:t>3,346</w:t>
            </w:r>
          </w:p>
        </w:tc>
        <w:tc>
          <w:tcPr>
            <w:tcW w:w="540" w:type="dxa"/>
            <w:vAlign w:val="bottom"/>
            <w:gridSpan w:val="2"/>
            <w:shd w:val="clear" w:color="auto" w:fill="D4EFF3"/>
          </w:tcPr>
          <w:p>
            <w:pPr>
              <w:jc w:val="right"/>
              <w:ind w:right="21"/>
              <w:spacing w:after="0"/>
              <w:rPr>
                <w:sz w:val="20"/>
                <w:szCs w:val="20"/>
                <w:color w:val="auto"/>
              </w:rPr>
            </w:pPr>
            <w:r>
              <w:rPr>
                <w:rFonts w:ascii="Arial" w:cs="Arial" w:eastAsia="Arial" w:hAnsi="Arial"/>
                <w:sz w:val="20"/>
                <w:szCs w:val="20"/>
                <w:color w:val="auto"/>
              </w:rPr>
              <w:t>$</w:t>
            </w:r>
          </w:p>
        </w:tc>
        <w:tc>
          <w:tcPr>
            <w:tcW w:w="780" w:type="dxa"/>
            <w:vAlign w:val="bottom"/>
            <w:shd w:val="clear" w:color="auto" w:fill="D4EFF3"/>
          </w:tcPr>
          <w:p>
            <w:pPr>
              <w:jc w:val="right"/>
              <w:ind w:right="5"/>
              <w:spacing w:after="0"/>
              <w:rPr>
                <w:sz w:val="20"/>
                <w:szCs w:val="20"/>
                <w:color w:val="auto"/>
              </w:rPr>
            </w:pPr>
            <w:r>
              <w:rPr>
                <w:rFonts w:ascii="Arial" w:cs="Arial" w:eastAsia="Arial" w:hAnsi="Arial"/>
                <w:sz w:val="20"/>
                <w:szCs w:val="20"/>
                <w:color w:val="auto"/>
              </w:rPr>
              <w:t>2,971</w:t>
            </w:r>
          </w:p>
        </w:tc>
      </w:tr>
      <w:tr>
        <w:trPr>
          <w:trHeight w:val="229"/>
        </w:trPr>
        <w:tc>
          <w:tcPr>
            <w:tcW w:w="2860" w:type="dxa"/>
            <w:vAlign w:val="bottom"/>
            <w:tcBorders>
              <w:bottom w:val="single" w:sz="8" w:color="D4EFF3"/>
            </w:tcBorders>
          </w:tcPr>
          <w:p>
            <w:pPr>
              <w:ind w:left="40"/>
              <w:spacing w:after="0" w:line="229" w:lineRule="exact"/>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line="229" w:lineRule="exact"/>
              <w:rPr>
                <w:sz w:val="20"/>
                <w:szCs w:val="20"/>
                <w:color w:val="auto"/>
              </w:rPr>
            </w:pPr>
            <w:r>
              <w:rPr>
                <w:rFonts w:ascii="Arial" w:cs="Arial" w:eastAsia="Arial" w:hAnsi="Arial"/>
                <w:sz w:val="20"/>
                <w:szCs w:val="20"/>
                <w:color w:val="auto"/>
              </w:rPr>
              <w:t>5,022</w:t>
            </w:r>
          </w:p>
        </w:tc>
        <w:tc>
          <w:tcPr>
            <w:tcW w:w="160" w:type="dxa"/>
            <w:vAlign w:val="bottom"/>
            <w:tcBorders>
              <w:bottom w:val="single" w:sz="8" w:color="D4EFF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
              <w:spacing w:after="0" w:line="229" w:lineRule="exact"/>
              <w:rPr>
                <w:sz w:val="20"/>
                <w:szCs w:val="20"/>
                <w:color w:val="auto"/>
              </w:rPr>
            </w:pPr>
            <w:r>
              <w:rPr>
                <w:rFonts w:ascii="Arial" w:cs="Arial" w:eastAsia="Arial" w:hAnsi="Arial"/>
                <w:sz w:val="20"/>
                <w:szCs w:val="20"/>
                <w:color w:val="auto"/>
              </w:rPr>
              <w:t>5,589</w:t>
            </w:r>
          </w:p>
        </w:tc>
      </w:tr>
      <w:tr>
        <w:trPr>
          <w:trHeight w:val="249"/>
        </w:trPr>
        <w:tc>
          <w:tcPr>
            <w:tcW w:w="2860" w:type="dxa"/>
            <w:vAlign w:val="bottom"/>
            <w:tcBorders>
              <w:bottom w:val="single" w:sz="8" w:color="D4EFF3"/>
            </w:tcBorders>
            <w:shd w:val="clear" w:color="auto" w:fill="D4EFF3"/>
          </w:tcPr>
          <w:p>
            <w:pPr>
              <w:ind w:left="40"/>
              <w:spacing w:after="0" w:line="229" w:lineRule="exact"/>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shd w:val="clear" w:color="auto" w:fill="D4EFF3"/>
          </w:tcPr>
          <w:p>
            <w:pPr>
              <w:jc w:val="right"/>
              <w:spacing w:after="0" w:line="229"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D4EFF3"/>
          </w:tcPr>
          <w:p>
            <w:pPr>
              <w:jc w:val="right"/>
              <w:ind w:right="32"/>
              <w:spacing w:after="0" w:line="229" w:lineRule="exact"/>
              <w:rPr>
                <w:sz w:val="20"/>
                <w:szCs w:val="20"/>
                <w:color w:val="auto"/>
              </w:rPr>
            </w:pPr>
            <w:r>
              <w:rPr>
                <w:rFonts w:ascii="Arial" w:cs="Arial" w:eastAsia="Arial" w:hAnsi="Arial"/>
                <w:sz w:val="20"/>
                <w:szCs w:val="20"/>
                <w:color w:val="auto"/>
              </w:rPr>
              <w:t>8,368</w:t>
            </w:r>
          </w:p>
        </w:tc>
        <w:tc>
          <w:tcPr>
            <w:tcW w:w="160" w:type="dxa"/>
            <w:vAlign w:val="bottom"/>
            <w:tcBorders>
              <w:bottom w:val="single" w:sz="8" w:color="D4EFF3"/>
            </w:tcBorders>
            <w:shd w:val="clear" w:color="auto" w:fill="D4EFF3"/>
          </w:tcPr>
          <w:p>
            <w:pPr>
              <w:spacing w:after="0"/>
              <w:rPr>
                <w:sz w:val="21"/>
                <w:szCs w:val="21"/>
                <w:color w:val="auto"/>
              </w:rPr>
            </w:pPr>
          </w:p>
        </w:tc>
        <w:tc>
          <w:tcPr>
            <w:tcW w:w="380" w:type="dxa"/>
            <w:vAlign w:val="bottom"/>
            <w:tcBorders>
              <w:bottom w:val="single" w:sz="8" w:color="auto"/>
            </w:tcBorders>
            <w:shd w:val="clear" w:color="auto" w:fill="D4EFF3"/>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shd w:val="clear" w:color="auto" w:fill="D4EFF3"/>
          </w:tcPr>
          <w:p>
            <w:pPr>
              <w:jc w:val="right"/>
              <w:ind w:right="5"/>
              <w:spacing w:after="0" w:line="229" w:lineRule="exact"/>
              <w:rPr>
                <w:sz w:val="20"/>
                <w:szCs w:val="20"/>
                <w:color w:val="auto"/>
              </w:rPr>
            </w:pPr>
            <w:r>
              <w:rPr>
                <w:rFonts w:ascii="Arial" w:cs="Arial" w:eastAsia="Arial" w:hAnsi="Arial"/>
                <w:sz w:val="20"/>
                <w:szCs w:val="20"/>
                <w:color w:val="auto"/>
              </w:rPr>
              <w:t>8,560</w:t>
            </w:r>
          </w:p>
        </w:tc>
      </w:tr>
    </w:tbl>
    <w:p>
      <w:pPr>
        <w:spacing w:after="0" w:line="200" w:lineRule="exact"/>
        <w:rPr>
          <w:sz w:val="20"/>
          <w:szCs w:val="20"/>
          <w:color w:val="auto"/>
        </w:rPr>
      </w:pPr>
    </w:p>
    <w:p>
      <w:pPr>
        <w:spacing w:after="0" w:line="29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2020 Stock Option and Incentive Plan</w:t>
      </w:r>
    </w:p>
    <w:p>
      <w:pPr>
        <w:spacing w:after="0" w:line="244" w:lineRule="exact"/>
        <w:rPr>
          <w:sz w:val="20"/>
          <w:szCs w:val="20"/>
          <w:color w:val="auto"/>
        </w:rPr>
      </w:pPr>
    </w:p>
    <w:p>
      <w:pPr>
        <w:ind w:left="580" w:right="40"/>
        <w:spacing w:after="0" w:line="245" w:lineRule="auto"/>
        <w:rPr>
          <w:sz w:val="20"/>
          <w:szCs w:val="20"/>
          <w:color w:val="auto"/>
        </w:rPr>
      </w:pPr>
      <w:r>
        <w:rPr>
          <w:rFonts w:ascii="Arial" w:cs="Arial" w:eastAsia="Arial" w:hAnsi="Arial"/>
          <w:sz w:val="20"/>
          <w:szCs w:val="20"/>
          <w:color w:val="auto"/>
        </w:rPr>
        <w:t>In June 2020, the Company’s board of directors adopted the 2020 Plan and reserved 2.9 million shares of common stock for issuance under this plan. The 2020 Plan provides that the number of shares reserved and available for issuance under the 2020 Plan will automatically increase each January 1, beginning on January 1, 2021, by the lesser of 4% of the outstanding number of shares of our common stock on the immediately preceding December 31 or such number of shares as determined by the plan administrator no later than the immediately preceding December 31. As of December 31, 2025, 5.3 million shares remain available for future grant. On January 1, 2026, an additional 7.1 million shares became available for issuance based on 4% of the outstanding shares of common stock, for a total of 12.4 million shares available for issuance.</w:t>
      </w:r>
    </w:p>
    <w:p>
      <w:pPr>
        <w:spacing w:after="0" w:line="196" w:lineRule="exact"/>
        <w:rPr>
          <w:sz w:val="20"/>
          <w:szCs w:val="20"/>
          <w:color w:val="auto"/>
        </w:rPr>
      </w:pPr>
    </w:p>
    <w:p>
      <w:pPr>
        <w:ind w:left="580" w:right="220"/>
        <w:spacing w:after="0" w:line="250" w:lineRule="auto"/>
        <w:rPr>
          <w:sz w:val="20"/>
          <w:szCs w:val="20"/>
          <w:color w:val="auto"/>
        </w:rPr>
      </w:pPr>
      <w:r>
        <w:rPr>
          <w:rFonts w:ascii="Arial" w:cs="Arial" w:eastAsia="Arial" w:hAnsi="Arial"/>
          <w:sz w:val="20"/>
          <w:szCs w:val="20"/>
          <w:color w:val="auto"/>
        </w:rPr>
        <w:t>The 2020 Plan authorizes the board of directors or a committee of the board to grant incentive stock options, nonqualified stock options, restricted stock awards and restricted stock units ("RSUs") to eligible officers, employees, consultants and directors of the Company. Options generally vest over a period of four years and have a contractual life of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2240" w:h="15840" w:orient="portrait"/>
          <w:cols w:equalWidth="0" w:num="1">
            <w:col w:w="9360"/>
          </w:cols>
          <w:pgMar w:left="1440" w:top="1420" w:right="1440" w:bottom="393" w:gutter="0" w:footer="0" w:header="0"/>
        </w:sectPr>
      </w:pPr>
    </w:p>
    <w:bookmarkStart w:id="120" w:name="page121"/>
    <w:bookmarkEnd w:id="120"/>
    <w:p>
      <w:pPr>
        <w:ind w:left="580"/>
        <w:spacing w:after="0"/>
        <w:rPr>
          <w:sz w:val="20"/>
          <w:szCs w:val="20"/>
          <w:color w:val="auto"/>
        </w:rPr>
      </w:pPr>
      <w:r>
        <w:rPr>
          <w:rFonts w:ascii="Arial" w:cs="Arial" w:eastAsia="Arial" w:hAnsi="Arial"/>
          <w:sz w:val="20"/>
          <w:szCs w:val="20"/>
          <w:i w:val="1"/>
          <w:iCs w:val="1"/>
          <w:color w:val="auto"/>
        </w:rPr>
        <w:t>Stock Options:</w:t>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The following table summarizes the stock option activity for the 2020 Plan:</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100" w:type="dxa"/>
            <w:vAlign w:val="bottom"/>
          </w:tcPr>
          <w:p>
            <w:pPr>
              <w:spacing w:after="0"/>
              <w:rPr>
                <w:sz w:val="15"/>
                <w:szCs w:val="15"/>
                <w:color w:val="auto"/>
              </w:rPr>
            </w:pPr>
          </w:p>
        </w:tc>
        <w:tc>
          <w:tcPr>
            <w:tcW w:w="9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91"/>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c>
          <w:tcPr>
            <w:tcW w:w="2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D4EFF3"/>
            </w:tcBorders>
          </w:tcPr>
          <w:p>
            <w:pPr>
              <w:spacing w:after="0"/>
              <w:rPr>
                <w:sz w:val="17"/>
                <w:szCs w:val="17"/>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(000's)</w:t>
            </w:r>
          </w:p>
        </w:tc>
        <w:tc>
          <w:tcPr>
            <w:tcW w:w="140" w:type="dxa"/>
            <w:vAlign w:val="bottom"/>
            <w:tcBorders>
              <w:bottom w:val="single" w:sz="8" w:color="D4EFF3"/>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Price Per Share</w:t>
            </w:r>
          </w:p>
        </w:tc>
        <w:tc>
          <w:tcPr>
            <w:tcW w:w="140" w:type="dxa"/>
            <w:vAlign w:val="bottom"/>
            <w:tcBorders>
              <w:bottom w:val="single" w:sz="8" w:color="D4EFF3"/>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240" w:type="dxa"/>
            <w:vAlign w:val="bottom"/>
            <w:tcBorders>
              <w:bottom w:val="single" w:sz="8" w:color="D4EFF3"/>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Value (000's)</w:t>
            </w:r>
          </w:p>
        </w:tc>
        <w:tc>
          <w:tcPr>
            <w:tcW w:w="0" w:type="dxa"/>
            <w:vAlign w:val="bottom"/>
          </w:tcPr>
          <w:p>
            <w:pPr>
              <w:spacing w:after="0"/>
              <w:rPr>
                <w:sz w:val="1"/>
                <w:szCs w:val="1"/>
                <w:color w:val="auto"/>
              </w:rPr>
            </w:pPr>
          </w:p>
        </w:tc>
      </w:tr>
      <w:tr>
        <w:trPr>
          <w:trHeight w:val="217"/>
        </w:trPr>
        <w:tc>
          <w:tcPr>
            <w:tcW w:w="3100" w:type="dxa"/>
            <w:vAlign w:val="bottom"/>
            <w:tcBorders>
              <w:top w:val="single" w:sz="8" w:color="D4EFF3"/>
            </w:tcBorders>
            <w:shd w:val="clear" w:color="auto" w:fill="D4EFF3"/>
          </w:tcPr>
          <w:p>
            <w:pPr>
              <w:ind w:left="40"/>
              <w:spacing w:after="0"/>
              <w:rPr>
                <w:sz w:val="20"/>
                <w:szCs w:val="20"/>
                <w:color w:val="auto"/>
              </w:rPr>
            </w:pPr>
            <w:r>
              <w:rPr>
                <w:rFonts w:ascii="Arial" w:cs="Arial" w:eastAsia="Arial" w:hAnsi="Arial"/>
                <w:sz w:val="18"/>
                <w:szCs w:val="18"/>
                <w:color w:val="auto"/>
              </w:rPr>
              <w:t>Outstanding at December 31, 2023</w:t>
            </w:r>
          </w:p>
        </w:tc>
        <w:tc>
          <w:tcPr>
            <w:tcW w:w="920" w:type="dxa"/>
            <w:vAlign w:val="bottom"/>
            <w:tcBorders>
              <w:top w:val="single" w:sz="8" w:color="auto"/>
            </w:tcBorders>
            <w:shd w:val="clear" w:color="auto" w:fill="D4EFF3"/>
          </w:tcPr>
          <w:p>
            <w:pPr>
              <w:jc w:val="right"/>
              <w:ind w:right="13"/>
              <w:spacing w:after="0"/>
              <w:rPr>
                <w:sz w:val="20"/>
                <w:szCs w:val="20"/>
                <w:color w:val="auto"/>
              </w:rPr>
            </w:pPr>
            <w:r>
              <w:rPr>
                <w:rFonts w:ascii="Arial" w:cs="Arial" w:eastAsia="Arial" w:hAnsi="Arial"/>
                <w:sz w:val="18"/>
                <w:szCs w:val="18"/>
                <w:color w:val="auto"/>
              </w:rPr>
              <w:t>7,876</w:t>
            </w:r>
          </w:p>
        </w:tc>
        <w:tc>
          <w:tcPr>
            <w:tcW w:w="140" w:type="dxa"/>
            <w:vAlign w:val="bottom"/>
            <w:tcBorders>
              <w:top w:val="single" w:sz="8" w:color="D4EFF3"/>
            </w:tcBorders>
            <w:shd w:val="clear" w:color="auto" w:fill="D4EFF3"/>
          </w:tcPr>
          <w:p>
            <w:pPr>
              <w:spacing w:after="0"/>
              <w:rPr>
                <w:sz w:val="18"/>
                <w:szCs w:val="18"/>
                <w:color w:val="auto"/>
              </w:rPr>
            </w:pPr>
          </w:p>
        </w:tc>
        <w:tc>
          <w:tcPr>
            <w:tcW w:w="260" w:type="dxa"/>
            <w:vAlign w:val="bottom"/>
            <w:tcBorders>
              <w:top w:val="single" w:sz="8" w:color="auto"/>
            </w:tcBorders>
            <w:shd w:val="clear" w:color="auto" w:fill="D4EFF3"/>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D4EFF3"/>
          </w:tcPr>
          <w:p>
            <w:pPr>
              <w:jc w:val="right"/>
              <w:ind w:right="11"/>
              <w:spacing w:after="0"/>
              <w:rPr>
                <w:sz w:val="20"/>
                <w:szCs w:val="20"/>
                <w:color w:val="auto"/>
              </w:rPr>
            </w:pPr>
            <w:r>
              <w:rPr>
                <w:rFonts w:ascii="Arial" w:cs="Arial" w:eastAsia="Arial" w:hAnsi="Arial"/>
                <w:sz w:val="18"/>
                <w:szCs w:val="18"/>
                <w:color w:val="auto"/>
              </w:rPr>
              <w:t>3.81</w:t>
            </w:r>
          </w:p>
        </w:tc>
        <w:tc>
          <w:tcPr>
            <w:tcW w:w="140" w:type="dxa"/>
            <w:vAlign w:val="bottom"/>
            <w:tcBorders>
              <w:top w:val="single" w:sz="8" w:color="D4EFF3"/>
            </w:tcBorders>
            <w:shd w:val="clear" w:color="auto" w:fill="D4EFF3"/>
          </w:tcPr>
          <w:p>
            <w:pPr>
              <w:spacing w:after="0"/>
              <w:rPr>
                <w:sz w:val="18"/>
                <w:szCs w:val="18"/>
                <w:color w:val="auto"/>
              </w:rPr>
            </w:pPr>
          </w:p>
        </w:tc>
        <w:tc>
          <w:tcPr>
            <w:tcW w:w="1700" w:type="dxa"/>
            <w:vAlign w:val="bottom"/>
            <w:tcBorders>
              <w:top w:val="single" w:sz="8" w:color="D4EFF3"/>
            </w:tcBorders>
            <w:shd w:val="clear" w:color="auto" w:fill="D4EFF3"/>
          </w:tcPr>
          <w:p>
            <w:pPr>
              <w:jc w:val="right"/>
              <w:ind w:right="17"/>
              <w:spacing w:after="0"/>
              <w:rPr>
                <w:sz w:val="20"/>
                <w:szCs w:val="20"/>
                <w:color w:val="auto"/>
              </w:rPr>
            </w:pPr>
            <w:r>
              <w:rPr>
                <w:rFonts w:ascii="Arial" w:cs="Arial" w:eastAsia="Arial" w:hAnsi="Arial"/>
                <w:sz w:val="18"/>
                <w:szCs w:val="18"/>
                <w:color w:val="auto"/>
              </w:rPr>
              <w:t>8.05</w:t>
            </w:r>
          </w:p>
        </w:tc>
        <w:tc>
          <w:tcPr>
            <w:tcW w:w="240" w:type="dxa"/>
            <w:vAlign w:val="bottom"/>
            <w:tcBorders>
              <w:top w:val="single" w:sz="8" w:color="D4EFF3"/>
            </w:tcBorders>
            <w:shd w:val="clear" w:color="auto" w:fill="D4EFF3"/>
          </w:tcPr>
          <w:p>
            <w:pPr>
              <w:spacing w:after="0"/>
              <w:rPr>
                <w:sz w:val="18"/>
                <w:szCs w:val="18"/>
                <w:color w:val="auto"/>
              </w:rPr>
            </w:pPr>
          </w:p>
        </w:tc>
        <w:tc>
          <w:tcPr>
            <w:tcW w:w="320" w:type="dxa"/>
            <w:vAlign w:val="bottom"/>
            <w:tcBorders>
              <w:top w:val="single" w:sz="8" w:color="D4EFF3"/>
            </w:tcBorders>
            <w:shd w:val="clear" w:color="auto" w:fill="D4EFF3"/>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D4EFF3"/>
            </w:tcBorders>
            <w:shd w:val="clear" w:color="auto" w:fill="D4EFF3"/>
          </w:tcPr>
          <w:p>
            <w:pPr>
              <w:jc w:val="right"/>
              <w:ind w:right="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6"/>
        </w:trPr>
        <w:tc>
          <w:tcPr>
            <w:tcW w:w="3100" w:type="dxa"/>
            <w:vAlign w:val="bottom"/>
          </w:tcPr>
          <w:p>
            <w:pPr>
              <w:ind w:left="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6,193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840" w:type="dxa"/>
            <w:vAlign w:val="bottom"/>
            <w:gridSpan w:val="2"/>
          </w:tcPr>
          <w:p>
            <w:pPr>
              <w:jc w:val="right"/>
              <w:ind w:right="17"/>
              <w:spacing w:after="0"/>
              <w:rPr>
                <w:sz w:val="20"/>
                <w:szCs w:val="20"/>
                <w:color w:val="auto"/>
              </w:rPr>
            </w:pPr>
            <w:r>
              <w:rPr>
                <w:rFonts w:ascii="Arial" w:cs="Arial" w:eastAsia="Arial" w:hAnsi="Arial"/>
                <w:sz w:val="18"/>
                <w:szCs w:val="18"/>
                <w:color w:val="auto"/>
              </w:rPr>
              <w:t>7.10</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3100" w:type="dxa"/>
            <w:vAlign w:val="bottom"/>
            <w:shd w:val="clear" w:color="auto" w:fill="D4EFF3"/>
          </w:tcPr>
          <w:p>
            <w:pPr>
              <w:ind w:left="4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D4EFF3"/>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D4EFF3"/>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4EFF3"/>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D4EFF3"/>
          </w:tcPr>
          <w:p>
            <w:pPr>
              <w:spacing w:after="0"/>
              <w:rPr>
                <w:sz w:val="23"/>
                <w:szCs w:val="23"/>
                <w:color w:val="auto"/>
              </w:rPr>
            </w:pPr>
          </w:p>
        </w:tc>
        <w:tc>
          <w:tcPr>
            <w:tcW w:w="1700" w:type="dxa"/>
            <w:vAlign w:val="bottom"/>
            <w:shd w:val="clear" w:color="auto" w:fill="D4EFF3"/>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D4EFF3"/>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D4EFF3"/>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3100" w:type="dxa"/>
            <w:vAlign w:val="bottom"/>
            <w:tcBorders>
              <w:bottom w:val="single" w:sz="8" w:color="D4EFF3"/>
            </w:tcBorders>
          </w:tcPr>
          <w:p>
            <w:pPr>
              <w:ind w:left="40"/>
              <w:spacing w:after="0"/>
              <w:rPr>
                <w:sz w:val="20"/>
                <w:szCs w:val="20"/>
                <w:color w:val="auto"/>
              </w:rPr>
            </w:pPr>
            <w:r>
              <w:rPr>
                <w:rFonts w:ascii="Arial" w:cs="Arial" w:eastAsia="Arial" w:hAnsi="Arial"/>
                <w:sz w:val="18"/>
                <w:szCs w:val="18"/>
                <w:color w:val="auto"/>
              </w:rPr>
              <w:t>Forfeited/cancelled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D4EFF3"/>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4EFF3"/>
            </w:tcBorders>
          </w:tcPr>
          <w:p>
            <w:pPr>
              <w:jc w:val="right"/>
              <w:ind w:right="11"/>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D4EFF3"/>
            </w:tcBorders>
          </w:tcPr>
          <w:p>
            <w:pPr>
              <w:spacing w:after="0"/>
              <w:rPr>
                <w:sz w:val="21"/>
                <w:szCs w:val="21"/>
                <w:color w:val="auto"/>
              </w:rPr>
            </w:pPr>
          </w:p>
        </w:tc>
        <w:tc>
          <w:tcPr>
            <w:tcW w:w="1700" w:type="dxa"/>
            <w:vAlign w:val="bottom"/>
            <w:tcBorders>
              <w:bottom w:val="single" w:sz="8" w:color="D4EFF3"/>
            </w:tcBorders>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D4EFF3"/>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D4EFF3"/>
            </w:tcBorders>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18"/>
                <w:szCs w:val="18"/>
                <w:color w:val="auto"/>
              </w:rPr>
              <w:t>Outstanding at December 31, 2024</w:t>
            </w:r>
          </w:p>
        </w:tc>
        <w:tc>
          <w:tcPr>
            <w:tcW w:w="920" w:type="dxa"/>
            <w:vAlign w:val="bottom"/>
            <w:tcBorders>
              <w:bottom w:val="single" w:sz="8" w:color="auto"/>
            </w:tcBorders>
            <w:shd w:val="clear" w:color="auto" w:fill="D4EFF3"/>
          </w:tcPr>
          <w:p>
            <w:pPr>
              <w:jc w:val="right"/>
              <w:ind w:right="13"/>
              <w:spacing w:after="0"/>
              <w:rPr>
                <w:sz w:val="20"/>
                <w:szCs w:val="20"/>
                <w:color w:val="auto"/>
              </w:rPr>
            </w:pPr>
            <w:r>
              <w:rPr>
                <w:rFonts w:ascii="Arial" w:cs="Arial" w:eastAsia="Arial" w:hAnsi="Arial"/>
                <w:sz w:val="18"/>
                <w:szCs w:val="18"/>
                <w:color w:val="auto"/>
              </w:rPr>
              <w:t>14,062</w:t>
            </w:r>
          </w:p>
        </w:tc>
        <w:tc>
          <w:tcPr>
            <w:tcW w:w="400" w:type="dxa"/>
            <w:vAlign w:val="bottom"/>
            <w:tcBorders>
              <w:bottom w:val="single" w:sz="8" w:color="D4EFF3"/>
            </w:tcBorders>
            <w:gridSpan w:val="2"/>
            <w:shd w:val="clear" w:color="auto" w:fill="D4EFF3"/>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4EFF3"/>
            </w:tcBorders>
            <w:shd w:val="clear" w:color="auto" w:fill="D4EFF3"/>
          </w:tcPr>
          <w:p>
            <w:pPr>
              <w:jc w:val="right"/>
              <w:ind w:right="11"/>
              <w:spacing w:after="0"/>
              <w:rPr>
                <w:sz w:val="20"/>
                <w:szCs w:val="20"/>
                <w:color w:val="auto"/>
              </w:rPr>
            </w:pPr>
            <w:r>
              <w:rPr>
                <w:rFonts w:ascii="Arial" w:cs="Arial" w:eastAsia="Arial" w:hAnsi="Arial"/>
                <w:sz w:val="18"/>
                <w:szCs w:val="18"/>
                <w:color w:val="auto"/>
              </w:rPr>
              <w:t>2.83</w:t>
            </w:r>
          </w:p>
        </w:tc>
        <w:tc>
          <w:tcPr>
            <w:tcW w:w="1840" w:type="dxa"/>
            <w:vAlign w:val="bottom"/>
            <w:tcBorders>
              <w:bottom w:val="single" w:sz="8" w:color="D4EFF3"/>
            </w:tcBorders>
            <w:gridSpan w:val="2"/>
            <w:shd w:val="clear" w:color="auto" w:fill="D4EFF3"/>
          </w:tcPr>
          <w:p>
            <w:pPr>
              <w:jc w:val="right"/>
              <w:ind w:right="17"/>
              <w:spacing w:after="0"/>
              <w:rPr>
                <w:sz w:val="20"/>
                <w:szCs w:val="20"/>
                <w:color w:val="auto"/>
              </w:rPr>
            </w:pPr>
            <w:r>
              <w:rPr>
                <w:rFonts w:ascii="Arial" w:cs="Arial" w:eastAsia="Arial" w:hAnsi="Arial"/>
                <w:sz w:val="18"/>
                <w:szCs w:val="18"/>
                <w:color w:val="auto"/>
              </w:rPr>
              <w:t>6.23</w:t>
            </w:r>
          </w:p>
        </w:tc>
        <w:tc>
          <w:tcPr>
            <w:tcW w:w="560" w:type="dxa"/>
            <w:vAlign w:val="bottom"/>
            <w:tcBorders>
              <w:bottom w:val="single" w:sz="8" w:color="D4EFF3"/>
            </w:tcBorders>
            <w:gridSpan w:val="2"/>
            <w:shd w:val="clear" w:color="auto" w:fill="D4EFF3"/>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D4EFF3"/>
            </w:tcBorders>
            <w:shd w:val="clear" w:color="auto" w:fill="D4EFF3"/>
          </w:tcPr>
          <w:p>
            <w:pPr>
              <w:jc w:val="right"/>
              <w:ind w:right="9"/>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4,777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3.63</w:t>
            </w:r>
          </w:p>
        </w:tc>
        <w:tc>
          <w:tcPr>
            <w:tcW w:w="1840" w:type="dxa"/>
            <w:vAlign w:val="bottom"/>
            <w:gridSpan w:val="2"/>
          </w:tcPr>
          <w:p>
            <w:pPr>
              <w:jc w:val="right"/>
              <w:ind w:right="17"/>
              <w:spacing w:after="0"/>
              <w:rPr>
                <w:sz w:val="20"/>
                <w:szCs w:val="20"/>
                <w:color w:val="auto"/>
              </w:rPr>
            </w:pPr>
            <w:r>
              <w:rPr>
                <w:rFonts w:ascii="Arial" w:cs="Arial" w:eastAsia="Arial" w:hAnsi="Arial"/>
                <w:sz w:val="18"/>
                <w:szCs w:val="18"/>
                <w:color w:val="auto"/>
              </w:rPr>
              <w:t>8.76</w:t>
            </w:r>
          </w:p>
        </w:tc>
        <w:tc>
          <w:tcPr>
            <w:tcW w:w="5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7"/>
        </w:trPr>
        <w:tc>
          <w:tcPr>
            <w:tcW w:w="3100" w:type="dxa"/>
            <w:vAlign w:val="bottom"/>
            <w:shd w:val="clear" w:color="auto" w:fill="D4EFF3"/>
          </w:tcPr>
          <w:p>
            <w:pPr>
              <w:ind w:left="4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D4EFF3"/>
          </w:tcPr>
          <w:p>
            <w:pPr>
              <w:jc w:val="right"/>
              <w:spacing w:after="0"/>
              <w:rPr>
                <w:sz w:val="20"/>
                <w:szCs w:val="20"/>
                <w:color w:val="auto"/>
              </w:rPr>
            </w:pPr>
            <w:r>
              <w:rPr>
                <w:rFonts w:ascii="Arial" w:cs="Arial" w:eastAsia="Arial" w:hAnsi="Arial"/>
                <w:sz w:val="18"/>
                <w:szCs w:val="18"/>
                <w:color w:val="auto"/>
              </w:rPr>
              <w:t>(545)</w:t>
            </w:r>
          </w:p>
        </w:tc>
        <w:tc>
          <w:tcPr>
            <w:tcW w:w="400" w:type="dxa"/>
            <w:vAlign w:val="bottom"/>
            <w:gridSpan w:val="2"/>
            <w:shd w:val="clear" w:color="auto" w:fill="D4EFF3"/>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4EFF3"/>
          </w:tcPr>
          <w:p>
            <w:pPr>
              <w:jc w:val="right"/>
              <w:ind w:right="11"/>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D4EFF3"/>
          </w:tcPr>
          <w:p>
            <w:pPr>
              <w:spacing w:after="0"/>
              <w:rPr>
                <w:sz w:val="23"/>
                <w:szCs w:val="23"/>
                <w:color w:val="auto"/>
              </w:rPr>
            </w:pPr>
          </w:p>
        </w:tc>
        <w:tc>
          <w:tcPr>
            <w:tcW w:w="1700" w:type="dxa"/>
            <w:vAlign w:val="bottom"/>
            <w:shd w:val="clear" w:color="auto" w:fill="D4EFF3"/>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D4EFF3"/>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D4EFF3"/>
          </w:tcPr>
          <w:p>
            <w:pPr>
              <w:jc w:val="right"/>
              <w:ind w:right="9"/>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6"/>
        </w:trPr>
        <w:tc>
          <w:tcPr>
            <w:tcW w:w="3100" w:type="dxa"/>
            <w:vAlign w:val="bottom"/>
            <w:tcBorders>
              <w:bottom w:val="single" w:sz="8" w:color="D4EFF3"/>
            </w:tcBorders>
          </w:tcPr>
          <w:p>
            <w:pPr>
              <w:ind w:left="40"/>
              <w:spacing w:after="0"/>
              <w:rPr>
                <w:sz w:val="20"/>
                <w:szCs w:val="20"/>
                <w:color w:val="auto"/>
              </w:rPr>
            </w:pPr>
            <w:r>
              <w:rPr>
                <w:rFonts w:ascii="Arial" w:cs="Arial" w:eastAsia="Arial" w:hAnsi="Arial"/>
                <w:sz w:val="18"/>
                <w:szCs w:val="18"/>
                <w:color w:val="auto"/>
              </w:rPr>
              <w:t>Forfeited/cancelled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400" w:type="dxa"/>
            <w:vAlign w:val="bottom"/>
            <w:tcBorders>
              <w:bottom w:val="single" w:sz="8" w:color="D4EFF3"/>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4EFF3"/>
            </w:tcBorders>
          </w:tcPr>
          <w:p>
            <w:pPr>
              <w:jc w:val="right"/>
              <w:ind w:right="11"/>
              <w:spacing w:after="0"/>
              <w:rPr>
                <w:sz w:val="20"/>
                <w:szCs w:val="20"/>
                <w:color w:val="auto"/>
              </w:rPr>
            </w:pPr>
            <w:r>
              <w:rPr>
                <w:rFonts w:ascii="Arial" w:cs="Arial" w:eastAsia="Arial" w:hAnsi="Arial"/>
                <w:sz w:val="18"/>
                <w:szCs w:val="18"/>
                <w:color w:val="auto"/>
              </w:rPr>
              <w:t>2.40</w:t>
            </w:r>
          </w:p>
        </w:tc>
        <w:tc>
          <w:tcPr>
            <w:tcW w:w="140" w:type="dxa"/>
            <w:vAlign w:val="bottom"/>
            <w:tcBorders>
              <w:bottom w:val="single" w:sz="8" w:color="D4EFF3"/>
            </w:tcBorders>
          </w:tcPr>
          <w:p>
            <w:pPr>
              <w:spacing w:after="0"/>
              <w:rPr>
                <w:sz w:val="21"/>
                <w:szCs w:val="21"/>
                <w:color w:val="auto"/>
              </w:rPr>
            </w:pPr>
          </w:p>
        </w:tc>
        <w:tc>
          <w:tcPr>
            <w:tcW w:w="1700" w:type="dxa"/>
            <w:vAlign w:val="bottom"/>
            <w:tcBorders>
              <w:bottom w:val="single" w:sz="8" w:color="D4EFF3"/>
            </w:tcBorders>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D4EFF3"/>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D4EFF3"/>
            </w:tcBorders>
          </w:tcPr>
          <w:p>
            <w:pPr>
              <w:jc w:val="right"/>
              <w:ind w:right="9"/>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18"/>
                <w:szCs w:val="18"/>
                <w:color w:val="auto"/>
              </w:rPr>
              <w:t>Outstanding at December 31, 2025</w:t>
            </w:r>
          </w:p>
        </w:tc>
        <w:tc>
          <w:tcPr>
            <w:tcW w:w="920" w:type="dxa"/>
            <w:vAlign w:val="bottom"/>
            <w:tcBorders>
              <w:bottom w:val="single" w:sz="8" w:color="auto"/>
            </w:tcBorders>
            <w:shd w:val="clear" w:color="auto" w:fill="D4EFF3"/>
          </w:tcPr>
          <w:p>
            <w:pPr>
              <w:jc w:val="right"/>
              <w:ind w:right="13"/>
              <w:spacing w:after="0"/>
              <w:rPr>
                <w:sz w:val="20"/>
                <w:szCs w:val="20"/>
                <w:color w:val="auto"/>
              </w:rPr>
            </w:pPr>
            <w:r>
              <w:rPr>
                <w:rFonts w:ascii="Arial" w:cs="Arial" w:eastAsia="Arial" w:hAnsi="Arial"/>
                <w:sz w:val="18"/>
                <w:szCs w:val="18"/>
                <w:color w:val="auto"/>
              </w:rPr>
              <w:t>16,352</w:t>
            </w:r>
          </w:p>
        </w:tc>
        <w:tc>
          <w:tcPr>
            <w:tcW w:w="400" w:type="dxa"/>
            <w:vAlign w:val="bottom"/>
            <w:tcBorders>
              <w:bottom w:val="single" w:sz="8" w:color="D4EFF3"/>
            </w:tcBorders>
            <w:gridSpan w:val="2"/>
            <w:shd w:val="clear" w:color="auto" w:fill="D4EFF3"/>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4EFF3"/>
            </w:tcBorders>
            <w:shd w:val="clear" w:color="auto" w:fill="D4EFF3"/>
          </w:tcPr>
          <w:p>
            <w:pPr>
              <w:jc w:val="right"/>
              <w:ind w:right="11"/>
              <w:spacing w:after="0"/>
              <w:rPr>
                <w:sz w:val="20"/>
                <w:szCs w:val="20"/>
                <w:color w:val="auto"/>
              </w:rPr>
            </w:pPr>
            <w:r>
              <w:rPr>
                <w:rFonts w:ascii="Arial" w:cs="Arial" w:eastAsia="Arial" w:hAnsi="Arial"/>
                <w:sz w:val="18"/>
                <w:szCs w:val="18"/>
                <w:color w:val="auto"/>
              </w:rPr>
              <w:t>3.13</w:t>
            </w:r>
          </w:p>
        </w:tc>
        <w:tc>
          <w:tcPr>
            <w:tcW w:w="1840" w:type="dxa"/>
            <w:vAlign w:val="bottom"/>
            <w:tcBorders>
              <w:bottom w:val="single" w:sz="8" w:color="D4EFF3"/>
            </w:tcBorders>
            <w:gridSpan w:val="2"/>
            <w:shd w:val="clear" w:color="auto" w:fill="D4EFF3"/>
          </w:tcPr>
          <w:p>
            <w:pPr>
              <w:jc w:val="right"/>
              <w:ind w:right="17"/>
              <w:spacing w:after="0"/>
              <w:rPr>
                <w:sz w:val="20"/>
                <w:szCs w:val="20"/>
                <w:color w:val="auto"/>
              </w:rPr>
            </w:pPr>
            <w:r>
              <w:rPr>
                <w:rFonts w:ascii="Arial" w:cs="Arial" w:eastAsia="Arial" w:hAnsi="Arial"/>
                <w:sz w:val="18"/>
                <w:szCs w:val="18"/>
                <w:color w:val="auto"/>
              </w:rPr>
              <w:t>6.69</w:t>
            </w:r>
          </w:p>
        </w:tc>
        <w:tc>
          <w:tcPr>
            <w:tcW w:w="560" w:type="dxa"/>
            <w:vAlign w:val="bottom"/>
            <w:tcBorders>
              <w:bottom w:val="single" w:sz="8" w:color="D4EFF3"/>
            </w:tcBorders>
            <w:gridSpan w:val="2"/>
            <w:shd w:val="clear" w:color="auto" w:fill="D4EFF3"/>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D4EFF3"/>
            </w:tcBorders>
            <w:shd w:val="clear" w:color="auto" w:fill="D4EFF3"/>
          </w:tcPr>
          <w:p>
            <w:pPr>
              <w:jc w:val="right"/>
              <w:ind w:right="9"/>
              <w:spacing w:after="0"/>
              <w:rPr>
                <w:sz w:val="20"/>
                <w:szCs w:val="20"/>
                <w:color w:val="auto"/>
              </w:rPr>
            </w:pPr>
            <w:r>
              <w:rPr>
                <w:rFonts w:ascii="Arial" w:cs="Arial" w:eastAsia="Arial" w:hAnsi="Arial"/>
                <w:sz w:val="18"/>
                <w:szCs w:val="18"/>
                <w:color w:val="auto"/>
              </w:rPr>
              <w:t>36,614</w:t>
            </w:r>
          </w:p>
        </w:tc>
        <w:tc>
          <w:tcPr>
            <w:tcW w:w="0" w:type="dxa"/>
            <w:vAlign w:val="bottom"/>
          </w:tcPr>
          <w:p>
            <w:pPr>
              <w:spacing w:after="0"/>
              <w:rPr>
                <w:sz w:val="1"/>
                <w:szCs w:val="1"/>
                <w:color w:val="auto"/>
              </w:rPr>
            </w:pPr>
          </w:p>
        </w:tc>
      </w:tr>
      <w:tr>
        <w:trPr>
          <w:trHeight w:val="198"/>
        </w:trPr>
        <w:tc>
          <w:tcPr>
            <w:tcW w:w="3100" w:type="dxa"/>
            <w:vAlign w:val="bottom"/>
          </w:tcPr>
          <w:p>
            <w:pPr>
              <w:ind w:left="40"/>
              <w:spacing w:after="0" w:line="198" w:lineRule="exact"/>
              <w:rPr>
                <w:sz w:val="20"/>
                <w:szCs w:val="20"/>
                <w:color w:val="auto"/>
              </w:rPr>
            </w:pPr>
            <w:r>
              <w:rPr>
                <w:rFonts w:ascii="Arial" w:cs="Arial" w:eastAsia="Arial" w:hAnsi="Arial"/>
                <w:sz w:val="18"/>
                <w:szCs w:val="18"/>
                <w:color w:val="auto"/>
              </w:rPr>
              <w:t>Vested at December 31, 2025</w:t>
            </w:r>
          </w:p>
        </w:tc>
        <w:tc>
          <w:tcPr>
            <w:tcW w:w="920" w:type="dxa"/>
            <w:vAlign w:val="bottom"/>
            <w:tcBorders>
              <w:bottom w:val="single" w:sz="8" w:color="auto"/>
            </w:tcBorders>
          </w:tcPr>
          <w:p>
            <w:pPr>
              <w:jc w:val="right"/>
              <w:ind w:right="13"/>
              <w:spacing w:after="0" w:line="198" w:lineRule="exact"/>
              <w:rPr>
                <w:sz w:val="20"/>
                <w:szCs w:val="20"/>
                <w:color w:val="auto"/>
              </w:rPr>
            </w:pPr>
            <w:r>
              <w:rPr>
                <w:rFonts w:ascii="Arial" w:cs="Arial" w:eastAsia="Arial" w:hAnsi="Arial"/>
                <w:sz w:val="18"/>
                <w:szCs w:val="18"/>
                <w:color w:val="auto"/>
              </w:rPr>
              <w:t>9,513</w:t>
            </w:r>
          </w:p>
        </w:tc>
        <w:tc>
          <w:tcPr>
            <w:tcW w:w="4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line="198" w:lineRule="exact"/>
              <w:rPr>
                <w:sz w:val="20"/>
                <w:szCs w:val="20"/>
                <w:color w:val="auto"/>
              </w:rPr>
            </w:pPr>
            <w:r>
              <w:rPr>
                <w:rFonts w:ascii="Arial" w:cs="Arial" w:eastAsia="Arial" w:hAnsi="Arial"/>
                <w:sz w:val="18"/>
                <w:szCs w:val="18"/>
                <w:color w:val="auto"/>
              </w:rPr>
              <w:t>3.38</w:t>
            </w:r>
          </w:p>
        </w:tc>
        <w:tc>
          <w:tcPr>
            <w:tcW w:w="1840" w:type="dxa"/>
            <w:vAlign w:val="bottom"/>
            <w:gridSpan w:val="2"/>
          </w:tcPr>
          <w:p>
            <w:pPr>
              <w:jc w:val="right"/>
              <w:ind w:right="17"/>
              <w:spacing w:after="0" w:line="198" w:lineRule="exact"/>
              <w:rPr>
                <w:sz w:val="20"/>
                <w:szCs w:val="20"/>
                <w:color w:val="auto"/>
              </w:rPr>
            </w:pPr>
            <w:r>
              <w:rPr>
                <w:rFonts w:ascii="Arial" w:cs="Arial" w:eastAsia="Arial" w:hAnsi="Arial"/>
                <w:sz w:val="18"/>
                <w:szCs w:val="18"/>
                <w:color w:val="auto"/>
              </w:rPr>
              <w:t>5.24</w:t>
            </w:r>
          </w:p>
        </w:tc>
        <w:tc>
          <w:tcPr>
            <w:tcW w:w="560" w:type="dxa"/>
            <w:vAlign w:val="bottom"/>
            <w:gridSpan w:val="2"/>
          </w:tcPr>
          <w:p>
            <w:pPr>
              <w:jc w:val="right"/>
              <w:ind w:right="25"/>
              <w:spacing w:after="0" w:line="198"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9"/>
              <w:spacing w:after="0" w:line="198" w:lineRule="exact"/>
              <w:rPr>
                <w:sz w:val="20"/>
                <w:szCs w:val="20"/>
                <w:color w:val="auto"/>
              </w:rPr>
            </w:pPr>
            <w:r>
              <w:rPr>
                <w:rFonts w:ascii="Arial" w:cs="Arial" w:eastAsia="Arial" w:hAnsi="Arial"/>
                <w:sz w:val="18"/>
                <w:szCs w:val="18"/>
                <w:color w:val="auto"/>
              </w:rPr>
              <w:t>18,932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4047490</wp:posOffset>
                </wp:positionH>
                <wp:positionV relativeFrom="paragraph">
                  <wp:posOffset>-1663065</wp:posOffset>
                </wp:positionV>
                <wp:extent cx="0" cy="1270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8">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pt,-130.9499pt" to="318.7pt,-129.9499pt" o:allowincell="f" strokecolor="#000000" strokeweight="0.0006pt"/>
            </w:pict>
          </mc:Fallback>
        </mc:AlternateContent>
        <mc:AlternateContent>
          <mc:Choice Requires="wps">
            <w:drawing>
              <wp:anchor simplePos="0" relativeHeight="251657728" behindDoc="1" locked="0" layoutInCell="0" allowOverlap="1">
                <wp:simplePos x="0" y="0"/>
                <wp:positionH relativeFrom="column">
                  <wp:posOffset>5932170</wp:posOffset>
                </wp:positionH>
                <wp:positionV relativeFrom="paragraph">
                  <wp:posOffset>-1663065</wp:posOffset>
                </wp:positionV>
                <wp:extent cx="0" cy="127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1pt,-130.9499pt" to="467.1pt,-129.9499pt" o:allowincell="f" strokecolor="#000000" strokeweight="0.0016pt"/>
            </w:pict>
          </mc:Fallback>
        </mc:AlternateContent>
      </w:r>
    </w:p>
    <w:p>
      <w:pPr>
        <w:spacing w:after="0" w:line="121" w:lineRule="exact"/>
        <w:rPr>
          <w:sz w:val="20"/>
          <w:szCs w:val="20"/>
          <w:color w:val="auto"/>
        </w:rPr>
      </w:pPr>
    </w:p>
    <w:p>
      <w:pPr>
        <w:ind w:left="580" w:right="80"/>
        <w:spacing w:after="0" w:line="266" w:lineRule="auto"/>
        <w:rPr>
          <w:sz w:val="20"/>
          <w:szCs w:val="20"/>
          <w:color w:val="auto"/>
        </w:rPr>
      </w:pPr>
      <w:r>
        <w:rPr>
          <w:rFonts w:ascii="Arial" w:cs="Arial" w:eastAsia="Arial" w:hAnsi="Arial"/>
          <w:sz w:val="19"/>
          <w:szCs w:val="19"/>
          <w:color w:val="auto"/>
        </w:rPr>
        <w:t>For the year ended December 31, 2025, the weighted average grant date fair value for options granted was $2.69. The aggregate intrinsic value for options vested and outstanding as of December 31, 2025 and 2024 was $36.6 million and $579 thousand, respectively. As of December 31, 2025, the unrecognized compensation cost related to outstanding options was $13.7 million, expected to be recognized over a weighted average period of approximately 1.4 years.</w:t>
      </w:r>
    </w:p>
    <w:p>
      <w:pPr>
        <w:spacing w:after="0" w:line="179" w:lineRule="exact"/>
        <w:rPr>
          <w:sz w:val="20"/>
          <w:szCs w:val="20"/>
          <w:color w:val="auto"/>
        </w:rPr>
      </w:pPr>
    </w:p>
    <w:p>
      <w:pPr>
        <w:ind w:left="580" w:right="260"/>
        <w:spacing w:after="0" w:line="261" w:lineRule="auto"/>
        <w:rPr>
          <w:sz w:val="20"/>
          <w:szCs w:val="20"/>
          <w:color w:val="auto"/>
        </w:rPr>
      </w:pPr>
      <w:r>
        <w:rPr>
          <w:rFonts w:ascii="Arial" w:cs="Arial" w:eastAsia="Arial" w:hAnsi="Arial"/>
          <w:sz w:val="20"/>
          <w:szCs w:val="20"/>
          <w:color w:val="auto"/>
        </w:rPr>
        <w:t>The weighted average assumptions used in the Black-Scholes option pricing model to determine the fair value of stock options granted to employees and directors during the years ended December 31, 2025 and 2024 were as follows:</w:t>
      </w: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218"/>
        </w:trPr>
        <w:tc>
          <w:tcPr>
            <w:tcW w:w="2420" w:type="dxa"/>
            <w:vAlign w:val="bottom"/>
          </w:tcPr>
          <w:p>
            <w:pPr>
              <w:spacing w:after="0"/>
              <w:rPr>
                <w:sz w:val="18"/>
                <w:szCs w:val="18"/>
                <w:color w:val="auto"/>
              </w:rPr>
            </w:pPr>
          </w:p>
        </w:tc>
        <w:tc>
          <w:tcPr>
            <w:tcW w:w="282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6"/>
                <w:szCs w:val="16"/>
                <w:b w:val="1"/>
                <w:bCs w:val="1"/>
                <w:color w:val="auto"/>
              </w:rPr>
              <w:t>Year Ended December 31,</w:t>
            </w:r>
          </w:p>
        </w:tc>
      </w:tr>
      <w:tr>
        <w:trPr>
          <w:trHeight w:val="257"/>
        </w:trPr>
        <w:tc>
          <w:tcPr>
            <w:tcW w:w="2420" w:type="dxa"/>
            <w:vAlign w:val="bottom"/>
          </w:tcPr>
          <w:p>
            <w:pPr>
              <w:spacing w:after="0"/>
              <w:rPr>
                <w:sz w:val="22"/>
                <w:szCs w:val="22"/>
                <w:color w:val="auto"/>
              </w:rPr>
            </w:pPr>
          </w:p>
        </w:tc>
        <w:tc>
          <w:tcPr>
            <w:tcW w:w="1280" w:type="dxa"/>
            <w:vAlign w:val="bottom"/>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1540" w:type="dxa"/>
            <w:vAlign w:val="bottom"/>
            <w:gridSpan w:val="2"/>
          </w:tcPr>
          <w:p>
            <w:pPr>
              <w:jc w:val="right"/>
              <w:ind w:right="361"/>
              <w:spacing w:after="0"/>
              <w:rPr>
                <w:sz w:val="20"/>
                <w:szCs w:val="20"/>
                <w:color w:val="auto"/>
              </w:rPr>
            </w:pPr>
            <w:r>
              <w:rPr>
                <w:rFonts w:ascii="Arial" w:cs="Arial" w:eastAsia="Arial" w:hAnsi="Arial"/>
                <w:sz w:val="16"/>
                <w:szCs w:val="16"/>
                <w:b w:val="1"/>
                <w:bCs w:val="1"/>
                <w:color w:val="auto"/>
              </w:rPr>
              <w:t>2024</w:t>
            </w:r>
          </w:p>
        </w:tc>
      </w:tr>
      <w:tr>
        <w:trPr>
          <w:trHeight w:val="239"/>
        </w:trPr>
        <w:tc>
          <w:tcPr>
            <w:tcW w:w="2420" w:type="dxa"/>
            <w:vAlign w:val="bottom"/>
            <w:tcBorders>
              <w:top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Expected term (in years)</w:t>
            </w:r>
          </w:p>
        </w:tc>
        <w:tc>
          <w:tcPr>
            <w:tcW w:w="1280" w:type="dxa"/>
            <w:vAlign w:val="bottom"/>
            <w:tcBorders>
              <w:top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6.0</w:t>
            </w:r>
          </w:p>
        </w:tc>
        <w:tc>
          <w:tcPr>
            <w:tcW w:w="260" w:type="dxa"/>
            <w:vAlign w:val="bottom"/>
            <w:tcBorders>
              <w:top w:val="single" w:sz="8" w:color="D4EFF3"/>
            </w:tcBorders>
            <w:shd w:val="clear" w:color="auto" w:fill="D4EFF3"/>
          </w:tcPr>
          <w:p>
            <w:pPr>
              <w:spacing w:after="0"/>
              <w:rPr>
                <w:sz w:val="20"/>
                <w:szCs w:val="20"/>
                <w:color w:val="auto"/>
              </w:rPr>
            </w:pPr>
          </w:p>
        </w:tc>
        <w:tc>
          <w:tcPr>
            <w:tcW w:w="1280" w:type="dxa"/>
            <w:vAlign w:val="bottom"/>
            <w:tcBorders>
              <w:top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6.0</w:t>
            </w:r>
          </w:p>
        </w:tc>
      </w:tr>
      <w:tr>
        <w:trPr>
          <w:trHeight w:val="238"/>
        </w:trPr>
        <w:tc>
          <w:tcPr>
            <w:tcW w:w="2420" w:type="dxa"/>
            <w:vAlign w:val="bottom"/>
          </w:tcPr>
          <w:p>
            <w:pPr>
              <w:ind w:left="40"/>
              <w:spacing w:after="0"/>
              <w:rPr>
                <w:sz w:val="20"/>
                <w:szCs w:val="20"/>
                <w:color w:val="auto"/>
              </w:rPr>
            </w:pPr>
            <w:r>
              <w:rPr>
                <w:rFonts w:ascii="Arial" w:cs="Arial" w:eastAsia="Arial" w:hAnsi="Arial"/>
                <w:sz w:val="20"/>
                <w:szCs w:val="20"/>
                <w:color w:val="auto"/>
              </w:rPr>
              <w:t>Risk-free rate</w:t>
            </w:r>
          </w:p>
        </w:tc>
        <w:tc>
          <w:tcPr>
            <w:tcW w:w="1280" w:type="dxa"/>
            <w:vAlign w:val="bottom"/>
          </w:tcPr>
          <w:p>
            <w:pPr>
              <w:jc w:val="right"/>
              <w:spacing w:after="0"/>
              <w:rPr>
                <w:sz w:val="20"/>
                <w:szCs w:val="20"/>
                <w:color w:val="auto"/>
              </w:rPr>
            </w:pPr>
            <w:r>
              <w:rPr>
                <w:rFonts w:ascii="Arial" w:cs="Arial" w:eastAsia="Arial" w:hAnsi="Arial"/>
                <w:sz w:val="20"/>
                <w:szCs w:val="20"/>
                <w:color w:val="auto"/>
              </w:rPr>
              <w:t>4.26%</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3.92%</w:t>
            </w:r>
          </w:p>
        </w:tc>
      </w:tr>
      <w:tr>
        <w:trPr>
          <w:trHeight w:val="258"/>
        </w:trPr>
        <w:tc>
          <w:tcPr>
            <w:tcW w:w="2420" w:type="dxa"/>
            <w:vAlign w:val="bottom"/>
            <w:shd w:val="clear" w:color="auto" w:fill="D4EFF3"/>
          </w:tcPr>
          <w:p>
            <w:pPr>
              <w:ind w:left="40"/>
              <w:spacing w:after="0"/>
              <w:rPr>
                <w:sz w:val="20"/>
                <w:szCs w:val="20"/>
                <w:color w:val="auto"/>
              </w:rPr>
            </w:pPr>
            <w:r>
              <w:rPr>
                <w:rFonts w:ascii="Arial" w:cs="Arial" w:eastAsia="Arial" w:hAnsi="Arial"/>
                <w:sz w:val="20"/>
                <w:szCs w:val="20"/>
                <w:color w:val="auto"/>
              </w:rPr>
              <w:t>Expected volatility</w:t>
            </w:r>
          </w:p>
        </w:tc>
        <w:tc>
          <w:tcPr>
            <w:tcW w:w="1280" w:type="dxa"/>
            <w:vAlign w:val="bottom"/>
            <w:shd w:val="clear" w:color="auto" w:fill="D4EFF3"/>
          </w:tcPr>
          <w:p>
            <w:pPr>
              <w:jc w:val="right"/>
              <w:spacing w:after="0"/>
              <w:rPr>
                <w:sz w:val="20"/>
                <w:szCs w:val="20"/>
                <w:color w:val="auto"/>
              </w:rPr>
            </w:pPr>
            <w:r>
              <w:rPr>
                <w:rFonts w:ascii="Arial" w:cs="Arial" w:eastAsia="Arial" w:hAnsi="Arial"/>
                <w:sz w:val="20"/>
                <w:szCs w:val="20"/>
                <w:color w:val="auto"/>
              </w:rPr>
              <w:t>86%</w:t>
            </w:r>
          </w:p>
        </w:tc>
        <w:tc>
          <w:tcPr>
            <w:tcW w:w="1540" w:type="dxa"/>
            <w:vAlign w:val="bottom"/>
            <w:gridSpan w:val="2"/>
            <w:shd w:val="clear" w:color="auto" w:fill="D4EFF3"/>
          </w:tcPr>
          <w:p>
            <w:pPr>
              <w:jc w:val="right"/>
              <w:spacing w:after="0"/>
              <w:rPr>
                <w:sz w:val="20"/>
                <w:szCs w:val="20"/>
                <w:color w:val="auto"/>
              </w:rPr>
            </w:pPr>
            <w:r>
              <w:rPr>
                <w:rFonts w:ascii="Arial" w:cs="Arial" w:eastAsia="Arial" w:hAnsi="Arial"/>
                <w:sz w:val="20"/>
                <w:szCs w:val="20"/>
                <w:color w:val="auto"/>
              </w:rPr>
              <w:t>81%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1882775</wp:posOffset>
                </wp:positionH>
                <wp:positionV relativeFrom="paragraph">
                  <wp:posOffset>-485775</wp:posOffset>
                </wp:positionV>
                <wp:extent cx="0" cy="127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69">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25pt,-38.2499pt" to="148.25pt,-37.2499pt" o:allowincell="f" strokecolor="#000000" strokeweight="0.0054pt"/>
            </w:pict>
          </mc:Fallback>
        </mc:AlternateContent>
        <mc:AlternateContent>
          <mc:Choice Requires="wps">
            <w:drawing>
              <wp:anchor simplePos="0" relativeHeight="251657728" behindDoc="1" locked="0" layoutInCell="0" allowOverlap="1">
                <wp:simplePos x="0" y="0"/>
                <wp:positionH relativeFrom="column">
                  <wp:posOffset>1882775</wp:posOffset>
                </wp:positionH>
                <wp:positionV relativeFrom="paragraph">
                  <wp:posOffset>-662305</wp:posOffset>
                </wp:positionV>
                <wp:extent cx="0" cy="1270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69">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25pt,-52.1499pt" to="148.25pt,-51.1499pt" o:allowincell="f" strokecolor="#000000" strokeweight="0.0054pt"/>
            </w:pict>
          </mc:Fallback>
        </mc:AlternateContent>
        <mc:AlternateContent>
          <mc:Choice Requires="wps">
            <w:drawing>
              <wp:anchor simplePos="0" relativeHeight="251657728" behindDoc="1" locked="0" layoutInCell="0" allowOverlap="1">
                <wp:simplePos x="0" y="0"/>
                <wp:positionH relativeFrom="column">
                  <wp:posOffset>2858770</wp:posOffset>
                </wp:positionH>
                <wp:positionV relativeFrom="paragraph">
                  <wp:posOffset>-485775</wp:posOffset>
                </wp:positionV>
                <wp:extent cx="0" cy="1270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98">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1pt,-38.2499pt" to="225.1pt,-37.2499pt" o:allowincell="f" strokecolor="#000000" strokeweight="0.0077pt"/>
            </w:pict>
          </mc:Fallback>
        </mc:AlternateConten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0"/>
          <w:szCs w:val="20"/>
          <w:i w:val="1"/>
          <w:iCs w:val="1"/>
          <w:color w:val="auto"/>
        </w:rPr>
        <w:t>RSUs: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The following table summarizes the RSU activity for the 2020 Plan:</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40" w:type="dxa"/>
            <w:vAlign w:val="bottom"/>
          </w:tcPr>
          <w:p>
            <w:pPr>
              <w:spacing w:after="0"/>
              <w:rPr>
                <w:sz w:val="17"/>
                <w:szCs w:val="17"/>
                <w:color w:val="auto"/>
              </w:rPr>
            </w:pPr>
          </w:p>
        </w:tc>
        <w:tc>
          <w:tcPr>
            <w:tcW w:w="116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Average Price</w:t>
            </w:r>
          </w:p>
        </w:tc>
        <w:tc>
          <w:tcPr>
            <w:tcW w:w="1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Average Fair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46"/>
              <w:spacing w:after="0"/>
              <w:rPr>
                <w:sz w:val="20"/>
                <w:szCs w:val="20"/>
                <w:color w:val="auto"/>
              </w:rPr>
            </w:pPr>
            <w:r>
              <w:rPr>
                <w:rFonts w:ascii="Arial" w:cs="Arial" w:eastAsia="Arial" w:hAnsi="Arial"/>
                <w:sz w:val="16"/>
                <w:szCs w:val="16"/>
                <w:b w:val="1"/>
                <w:bCs w:val="1"/>
                <w:color w:val="auto"/>
              </w:rPr>
              <w:t>(000's)</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 Share</w:t>
            </w:r>
          </w:p>
        </w:tc>
        <w:tc>
          <w:tcPr>
            <w:tcW w:w="1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 (000's)</w:t>
            </w:r>
          </w:p>
        </w:tc>
        <w:tc>
          <w:tcPr>
            <w:tcW w:w="0" w:type="dxa"/>
            <w:vAlign w:val="bottom"/>
          </w:tcPr>
          <w:p>
            <w:pPr>
              <w:spacing w:after="0"/>
              <w:rPr>
                <w:sz w:val="1"/>
                <w:szCs w:val="1"/>
                <w:color w:val="auto"/>
              </w:rPr>
            </w:pPr>
          </w:p>
        </w:tc>
      </w:tr>
      <w:tr>
        <w:trPr>
          <w:trHeight w:val="46"/>
        </w:trPr>
        <w:tc>
          <w:tcPr>
            <w:tcW w:w="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20"/>
                <w:szCs w:val="20"/>
                <w:color w:val="auto"/>
                <w:w w:val="99"/>
              </w:rPr>
              <w:t>Unvested, December 31, 2023</w:t>
            </w:r>
          </w:p>
        </w:tc>
        <w:tc>
          <w:tcPr>
            <w:tcW w:w="1300" w:type="dxa"/>
            <w:vAlign w:val="bottom"/>
            <w:gridSpan w:val="2"/>
          </w:tcPr>
          <w:p>
            <w:pPr>
              <w:jc w:val="right"/>
              <w:ind w:right="6"/>
              <w:spacing w:after="0"/>
              <w:rPr>
                <w:sz w:val="20"/>
                <w:szCs w:val="20"/>
                <w:color w:val="auto"/>
              </w:rPr>
            </w:pPr>
            <w:r>
              <w:rPr>
                <w:rFonts w:ascii="Arial" w:cs="Arial" w:eastAsia="Arial" w:hAnsi="Arial"/>
                <w:sz w:val="20"/>
                <w:szCs w:val="20"/>
                <w:color w:val="auto"/>
              </w:rPr>
              <w:t>1,500</w:t>
            </w:r>
          </w:p>
        </w:tc>
        <w:tc>
          <w:tcPr>
            <w:tcW w:w="600" w:type="dxa"/>
            <w:vAlign w:val="bottom"/>
            <w:gridSpan w:val="2"/>
          </w:tcPr>
          <w:p>
            <w:pPr>
              <w:jc w:val="right"/>
              <w:ind w:right="116"/>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8"/>
              <w:spacing w:after="0"/>
              <w:rPr>
                <w:sz w:val="20"/>
                <w:szCs w:val="20"/>
                <w:color w:val="auto"/>
              </w:rPr>
            </w:pPr>
            <w:r>
              <w:rPr>
                <w:rFonts w:ascii="Arial" w:cs="Arial" w:eastAsia="Arial" w:hAnsi="Arial"/>
                <w:sz w:val="20"/>
                <w:szCs w:val="20"/>
                <w:color w:val="auto"/>
              </w:rPr>
              <w:t>3.83</w:t>
            </w:r>
          </w:p>
        </w:tc>
        <w:tc>
          <w:tcPr>
            <w:tcW w:w="500" w:type="dxa"/>
            <w:vAlign w:val="bottom"/>
            <w:gridSpan w:val="2"/>
          </w:tcPr>
          <w:p>
            <w:pPr>
              <w:ind w:left="28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8"/>
              <w:spacing w:after="0"/>
              <w:rPr>
                <w:sz w:val="20"/>
                <w:szCs w:val="20"/>
                <w:color w:val="auto"/>
              </w:rPr>
            </w:pPr>
            <w:r>
              <w:rPr>
                <w:rFonts w:ascii="Arial" w:cs="Arial" w:eastAsia="Arial" w:hAnsi="Arial"/>
                <w:sz w:val="20"/>
                <w:szCs w:val="20"/>
                <w:color w:val="auto"/>
              </w:rPr>
              <w:t>5,745</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760" w:type="dxa"/>
            <w:vAlign w:val="bottom"/>
            <w:shd w:val="clear" w:color="auto" w:fill="D4EFF3"/>
          </w:tcPr>
          <w:p>
            <w:pPr>
              <w:ind w:left="40"/>
              <w:spacing w:after="0"/>
              <w:rPr>
                <w:sz w:val="20"/>
                <w:szCs w:val="20"/>
                <w:color w:val="auto"/>
              </w:rPr>
            </w:pPr>
            <w:r>
              <w:rPr>
                <w:rFonts w:ascii="Arial" w:cs="Arial" w:eastAsia="Arial" w:hAnsi="Arial"/>
                <w:sz w:val="20"/>
                <w:szCs w:val="20"/>
                <w:color w:val="auto"/>
              </w:rPr>
              <w:t>Granted</w:t>
            </w:r>
          </w:p>
        </w:tc>
        <w:tc>
          <w:tcPr>
            <w:tcW w:w="1300" w:type="dxa"/>
            <w:vAlign w:val="bottom"/>
            <w:gridSpan w:val="2"/>
            <w:shd w:val="clear" w:color="auto" w:fill="D4EFF3"/>
          </w:tcPr>
          <w:p>
            <w:pPr>
              <w:jc w:val="right"/>
              <w:ind w:right="6"/>
              <w:spacing w:after="0"/>
              <w:rPr>
                <w:sz w:val="20"/>
                <w:szCs w:val="20"/>
                <w:color w:val="auto"/>
              </w:rPr>
            </w:pPr>
            <w:r>
              <w:rPr>
                <w:rFonts w:ascii="Arial" w:cs="Arial" w:eastAsia="Arial" w:hAnsi="Arial"/>
                <w:sz w:val="20"/>
                <w:szCs w:val="20"/>
                <w:color w:val="auto"/>
              </w:rPr>
              <w:t>2,791</w:t>
            </w:r>
          </w:p>
        </w:tc>
        <w:tc>
          <w:tcPr>
            <w:tcW w:w="160" w:type="dxa"/>
            <w:vAlign w:val="bottom"/>
            <w:shd w:val="clear" w:color="auto" w:fill="D4EFF3"/>
          </w:tcPr>
          <w:p>
            <w:pPr>
              <w:spacing w:after="0"/>
              <w:rPr>
                <w:sz w:val="24"/>
                <w:szCs w:val="24"/>
                <w:color w:val="auto"/>
              </w:rPr>
            </w:pPr>
          </w:p>
        </w:tc>
        <w:tc>
          <w:tcPr>
            <w:tcW w:w="440" w:type="dxa"/>
            <w:vAlign w:val="bottom"/>
            <w:shd w:val="clear" w:color="auto" w:fill="D4EFF3"/>
          </w:tcPr>
          <w:p>
            <w:pPr>
              <w:spacing w:after="0"/>
              <w:rPr>
                <w:sz w:val="24"/>
                <w:szCs w:val="24"/>
                <w:color w:val="auto"/>
              </w:rPr>
            </w:pPr>
          </w:p>
        </w:tc>
        <w:tc>
          <w:tcPr>
            <w:tcW w:w="720" w:type="dxa"/>
            <w:vAlign w:val="bottom"/>
            <w:shd w:val="clear" w:color="auto" w:fill="D4EFF3"/>
          </w:tcPr>
          <w:p>
            <w:pPr>
              <w:jc w:val="right"/>
              <w:ind w:right="18"/>
              <w:spacing w:after="0"/>
              <w:rPr>
                <w:sz w:val="20"/>
                <w:szCs w:val="20"/>
                <w:color w:val="auto"/>
              </w:rPr>
            </w:pPr>
            <w:r>
              <w:rPr>
                <w:rFonts w:ascii="Arial" w:cs="Arial" w:eastAsia="Arial" w:hAnsi="Arial"/>
                <w:sz w:val="20"/>
                <w:szCs w:val="20"/>
                <w:color w:val="auto"/>
              </w:rPr>
              <w:t>1.89</w:t>
            </w:r>
          </w:p>
        </w:tc>
        <w:tc>
          <w:tcPr>
            <w:tcW w:w="14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800" w:type="dxa"/>
            <w:vAlign w:val="bottom"/>
            <w:shd w:val="clear" w:color="auto" w:fill="D4EFF3"/>
          </w:tcPr>
          <w:p>
            <w:pPr>
              <w:jc w:val="right"/>
              <w:ind w:right="18"/>
              <w:spacing w:after="0"/>
              <w:rPr>
                <w:sz w:val="20"/>
                <w:szCs w:val="20"/>
                <w:color w:val="auto"/>
              </w:rPr>
            </w:pPr>
            <w:r>
              <w:rPr>
                <w:rFonts w:ascii="Arial" w:cs="Arial" w:eastAsia="Arial" w:hAnsi="Arial"/>
                <w:sz w:val="20"/>
                <w:szCs w:val="20"/>
                <w:color w:val="auto"/>
              </w:rPr>
              <w:t>5,275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ind w:left="40"/>
              <w:spacing w:after="0"/>
              <w:rPr>
                <w:sz w:val="20"/>
                <w:szCs w:val="20"/>
                <w:color w:val="auto"/>
              </w:rPr>
            </w:pPr>
            <w:r>
              <w:rPr>
                <w:rFonts w:ascii="Arial" w:cs="Arial" w:eastAsia="Arial" w:hAnsi="Arial"/>
                <w:sz w:val="20"/>
                <w:szCs w:val="20"/>
                <w:color w:val="auto"/>
              </w:rPr>
              <w:t>Vested</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(525)</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18"/>
              <w:spacing w:after="0"/>
              <w:rPr>
                <w:sz w:val="20"/>
                <w:szCs w:val="20"/>
                <w:color w:val="auto"/>
              </w:rPr>
            </w:pPr>
            <w:r>
              <w:rPr>
                <w:rFonts w:ascii="Arial" w:cs="Arial" w:eastAsia="Arial" w:hAnsi="Arial"/>
                <w:sz w:val="20"/>
                <w:szCs w:val="20"/>
                <w:color w:val="auto"/>
              </w:rPr>
              <w:t>3.87</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(2,032)</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76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Forfeited or canceled</w:t>
            </w:r>
          </w:p>
        </w:tc>
        <w:tc>
          <w:tcPr>
            <w:tcW w:w="160" w:type="dxa"/>
            <w:vAlign w:val="bottom"/>
            <w:tcBorders>
              <w:bottom w:val="single" w:sz="8" w:color="D4EFF3"/>
            </w:tcBorders>
            <w:shd w:val="clear" w:color="auto" w:fill="D4EFF3"/>
          </w:tcPr>
          <w:p>
            <w:pPr>
              <w:spacing w:after="0"/>
              <w:rPr>
                <w:sz w:val="24"/>
                <w:szCs w:val="24"/>
                <w:color w:val="auto"/>
              </w:rPr>
            </w:pPr>
          </w:p>
        </w:tc>
        <w:tc>
          <w:tcPr>
            <w:tcW w:w="1140" w:type="dxa"/>
            <w:vAlign w:val="bottom"/>
            <w:tcBorders>
              <w:bottom w:val="single" w:sz="8" w:color="auto"/>
            </w:tcBorders>
            <w:shd w:val="clear" w:color="auto" w:fill="D4EFF3"/>
          </w:tcPr>
          <w:p>
            <w:pPr>
              <w:jc w:val="right"/>
              <w:ind w:right="26"/>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auto"/>
            </w:tcBorders>
            <w:shd w:val="clear" w:color="auto" w:fill="D4EFF3"/>
          </w:tcPr>
          <w:p>
            <w:pPr>
              <w:spacing w:after="0"/>
              <w:rPr>
                <w:sz w:val="24"/>
                <w:szCs w:val="24"/>
                <w:color w:val="auto"/>
              </w:rPr>
            </w:pPr>
          </w:p>
        </w:tc>
        <w:tc>
          <w:tcPr>
            <w:tcW w:w="720" w:type="dxa"/>
            <w:vAlign w:val="bottom"/>
            <w:tcBorders>
              <w:bottom w:val="single" w:sz="8" w:color="auto"/>
            </w:tcBorders>
            <w:shd w:val="clear" w:color="auto" w:fill="D4EFF3"/>
          </w:tcPr>
          <w:p>
            <w:pPr>
              <w:jc w:val="right"/>
              <w:ind w:right="18"/>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D4EFF3"/>
            </w:tcBorders>
            <w:shd w:val="clear" w:color="auto" w:fill="D4EFF3"/>
          </w:tcPr>
          <w:p>
            <w:pPr>
              <w:spacing w:after="0"/>
              <w:rPr>
                <w:sz w:val="24"/>
                <w:szCs w:val="24"/>
                <w:color w:val="auto"/>
              </w:rPr>
            </w:pPr>
          </w:p>
        </w:tc>
        <w:tc>
          <w:tcPr>
            <w:tcW w:w="360" w:type="dxa"/>
            <w:vAlign w:val="bottom"/>
            <w:tcBorders>
              <w:bottom w:val="single" w:sz="8" w:color="auto"/>
            </w:tcBorders>
            <w:shd w:val="clear" w:color="auto" w:fill="D4EFF3"/>
          </w:tcPr>
          <w:p>
            <w:pPr>
              <w:spacing w:after="0"/>
              <w:rPr>
                <w:sz w:val="24"/>
                <w:szCs w:val="24"/>
                <w:color w:val="auto"/>
              </w:rPr>
            </w:pPr>
          </w:p>
        </w:tc>
        <w:tc>
          <w:tcPr>
            <w:tcW w:w="800" w:type="dxa"/>
            <w:vAlign w:val="bottom"/>
            <w:tcBorders>
              <w:bottom w:val="single" w:sz="8" w:color="auto"/>
            </w:tcBorders>
            <w:shd w:val="clear" w:color="auto" w:fill="D4EFF3"/>
          </w:tcPr>
          <w:p>
            <w:pPr>
              <w:jc w:val="right"/>
              <w:ind w:right="18"/>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60" w:type="dxa"/>
            <w:vAlign w:val="bottom"/>
            <w:tcBorders>
              <w:bottom w:val="single" w:sz="8" w:color="D4EFF3"/>
            </w:tcBorders>
          </w:tcPr>
          <w:p>
            <w:pPr>
              <w:ind w:left="40"/>
              <w:spacing w:after="0" w:line="228" w:lineRule="exact"/>
              <w:rPr>
                <w:sz w:val="20"/>
                <w:szCs w:val="20"/>
                <w:color w:val="auto"/>
              </w:rPr>
            </w:pPr>
            <w:r>
              <w:rPr>
                <w:rFonts w:ascii="Arial" w:cs="Arial" w:eastAsia="Arial" w:hAnsi="Arial"/>
                <w:sz w:val="20"/>
                <w:szCs w:val="20"/>
                <w:color w:val="auto"/>
                <w:w w:val="99"/>
              </w:rPr>
              <w:t>Unvested, December 31, 2024</w:t>
            </w:r>
          </w:p>
        </w:tc>
        <w:tc>
          <w:tcPr>
            <w:tcW w:w="160" w:type="dxa"/>
            <w:vAlign w:val="bottom"/>
            <w:tcBorders>
              <w:bottom w:val="single" w:sz="8" w:color="D4EFF3"/>
            </w:tcBorders>
          </w:tcPr>
          <w:p>
            <w:pPr>
              <w:spacing w:after="0"/>
              <w:rPr>
                <w:sz w:val="21"/>
                <w:szCs w:val="21"/>
                <w:color w:val="auto"/>
              </w:rPr>
            </w:pPr>
          </w:p>
        </w:tc>
        <w:tc>
          <w:tcPr>
            <w:tcW w:w="1140" w:type="dxa"/>
            <w:vAlign w:val="bottom"/>
            <w:tcBorders>
              <w:bottom w:val="single" w:sz="8" w:color="auto"/>
            </w:tcBorders>
          </w:tcPr>
          <w:p>
            <w:pPr>
              <w:jc w:val="right"/>
              <w:ind w:right="6"/>
              <w:spacing w:after="0" w:line="228" w:lineRule="exact"/>
              <w:rPr>
                <w:sz w:val="20"/>
                <w:szCs w:val="20"/>
                <w:color w:val="auto"/>
              </w:rPr>
            </w:pPr>
            <w:r>
              <w:rPr>
                <w:rFonts w:ascii="Arial" w:cs="Arial" w:eastAsia="Arial" w:hAnsi="Arial"/>
                <w:sz w:val="20"/>
                <w:szCs w:val="20"/>
                <w:color w:val="auto"/>
              </w:rPr>
              <w:t>3,766</w:t>
            </w:r>
          </w:p>
        </w:tc>
        <w:tc>
          <w:tcPr>
            <w:tcW w:w="160" w:type="dxa"/>
            <w:vAlign w:val="bottom"/>
            <w:tcBorders>
              <w:bottom w:val="single" w:sz="8" w:color="D4EFF3"/>
            </w:tcBorders>
          </w:tcPr>
          <w:p>
            <w:pPr>
              <w:spacing w:after="0"/>
              <w:rPr>
                <w:sz w:val="21"/>
                <w:szCs w:val="21"/>
                <w:color w:val="auto"/>
              </w:rPr>
            </w:pPr>
          </w:p>
        </w:tc>
        <w:tc>
          <w:tcPr>
            <w:tcW w:w="440" w:type="dxa"/>
            <w:vAlign w:val="bottom"/>
            <w:tcBorders>
              <w:bottom w:val="single" w:sz="8" w:color="auto"/>
            </w:tcBorders>
          </w:tcPr>
          <w:p>
            <w:pPr>
              <w:jc w:val="right"/>
              <w:ind w:right="116"/>
              <w:spacing w:after="0" w:line="228"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ind w:right="18"/>
              <w:spacing w:after="0" w:line="228" w:lineRule="exact"/>
              <w:rPr>
                <w:sz w:val="20"/>
                <w:szCs w:val="20"/>
                <w:color w:val="auto"/>
              </w:rPr>
            </w:pPr>
            <w:r>
              <w:rPr>
                <w:rFonts w:ascii="Arial" w:cs="Arial" w:eastAsia="Arial" w:hAnsi="Arial"/>
                <w:sz w:val="20"/>
                <w:szCs w:val="20"/>
                <w:color w:val="auto"/>
              </w:rPr>
              <w:t>2.41</w:t>
            </w:r>
          </w:p>
        </w:tc>
        <w:tc>
          <w:tcPr>
            <w:tcW w:w="140" w:type="dxa"/>
            <w:vAlign w:val="bottom"/>
            <w:tcBorders>
              <w:bottom w:val="single" w:sz="8" w:color="D4EFF3"/>
            </w:tcBorders>
          </w:tcPr>
          <w:p>
            <w:pPr>
              <w:spacing w:after="0"/>
              <w:rPr>
                <w:sz w:val="21"/>
                <w:szCs w:val="21"/>
                <w:color w:val="auto"/>
              </w:rPr>
            </w:pPr>
          </w:p>
        </w:tc>
        <w:tc>
          <w:tcPr>
            <w:tcW w:w="360" w:type="dxa"/>
            <w:vAlign w:val="bottom"/>
            <w:tcBorders>
              <w:bottom w:val="single" w:sz="8" w:color="auto"/>
            </w:tcBorders>
          </w:tcPr>
          <w:p>
            <w:pPr>
              <w:ind w:left="140"/>
              <w:spacing w:after="0" w:line="228"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ind w:right="18"/>
              <w:spacing w:after="0" w:line="228" w:lineRule="exact"/>
              <w:rPr>
                <w:sz w:val="20"/>
                <w:szCs w:val="20"/>
                <w:color w:val="auto"/>
              </w:rPr>
            </w:pPr>
            <w:r>
              <w:rPr>
                <w:rFonts w:ascii="Arial" w:cs="Arial" w:eastAsia="Arial" w:hAnsi="Arial"/>
                <w:sz w:val="20"/>
                <w:szCs w:val="20"/>
                <w:color w:val="auto"/>
              </w:rPr>
              <w:t>9,076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Borders>
              <w:top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Granted</w:t>
            </w:r>
          </w:p>
        </w:tc>
        <w:tc>
          <w:tcPr>
            <w:tcW w:w="160" w:type="dxa"/>
            <w:vAlign w:val="bottom"/>
            <w:tcBorders>
              <w:top w:val="single" w:sz="8" w:color="D4EFF3"/>
            </w:tcBorders>
            <w:shd w:val="clear" w:color="auto" w:fill="D4EFF3"/>
          </w:tcPr>
          <w:p>
            <w:pPr>
              <w:spacing w:after="0"/>
              <w:rPr>
                <w:sz w:val="22"/>
                <w:szCs w:val="22"/>
                <w:color w:val="auto"/>
              </w:rPr>
            </w:pPr>
          </w:p>
        </w:tc>
        <w:tc>
          <w:tcPr>
            <w:tcW w:w="1140" w:type="dxa"/>
            <w:vAlign w:val="bottom"/>
            <w:tcBorders>
              <w:top w:val="single" w:sz="8" w:color="D4EFF3"/>
            </w:tcBorders>
            <w:shd w:val="clear" w:color="auto" w:fill="D4EFF3"/>
          </w:tcPr>
          <w:p>
            <w:pPr>
              <w:jc w:val="right"/>
              <w:ind w:right="26"/>
              <w:spacing w:after="0"/>
              <w:rPr>
                <w:sz w:val="20"/>
                <w:szCs w:val="20"/>
                <w:color w:val="auto"/>
              </w:rPr>
            </w:pPr>
            <w:r>
              <w:rPr>
                <w:rFonts w:ascii="Arial" w:cs="Arial" w:eastAsia="Arial" w:hAnsi="Arial"/>
                <w:sz w:val="20"/>
                <w:szCs w:val="20"/>
                <w:color w:val="auto"/>
              </w:rPr>
              <w:t>—</w:t>
            </w:r>
          </w:p>
        </w:tc>
        <w:tc>
          <w:tcPr>
            <w:tcW w:w="600" w:type="dxa"/>
            <w:vAlign w:val="bottom"/>
            <w:tcBorders>
              <w:top w:val="single" w:sz="8" w:color="D4EFF3"/>
            </w:tcBorders>
            <w:gridSpan w:val="2"/>
            <w:shd w:val="clear" w:color="auto" w:fill="D4EFF3"/>
          </w:tcPr>
          <w:p>
            <w:pPr>
              <w:jc w:val="right"/>
              <w:ind w:right="116"/>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D4EFF3"/>
            </w:tcBorders>
            <w:shd w:val="clear" w:color="auto" w:fill="D4EFF3"/>
          </w:tcPr>
          <w:p>
            <w:pPr>
              <w:jc w:val="right"/>
              <w:ind w:right="18"/>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D4EFF3"/>
            </w:tcBorders>
            <w:shd w:val="clear" w:color="auto" w:fill="D4EFF3"/>
          </w:tcPr>
          <w:p>
            <w:pPr>
              <w:spacing w:after="0"/>
              <w:rPr>
                <w:sz w:val="22"/>
                <w:szCs w:val="22"/>
                <w:color w:val="auto"/>
              </w:rPr>
            </w:pPr>
          </w:p>
        </w:tc>
        <w:tc>
          <w:tcPr>
            <w:tcW w:w="360" w:type="dxa"/>
            <w:vAlign w:val="bottom"/>
            <w:tcBorders>
              <w:top w:val="single" w:sz="8" w:color="auto"/>
            </w:tcBorders>
            <w:shd w:val="clear" w:color="auto" w:fill="D4EFF3"/>
          </w:tcPr>
          <w:p>
            <w:pPr>
              <w:ind w:left="120"/>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tcBorders>
            <w:shd w:val="clear" w:color="auto" w:fill="D4EFF3"/>
          </w:tcPr>
          <w:p>
            <w:pPr>
              <w:jc w:val="right"/>
              <w:ind w:right="18"/>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ind w:left="40"/>
              <w:spacing w:after="0"/>
              <w:rPr>
                <w:sz w:val="20"/>
                <w:szCs w:val="20"/>
                <w:color w:val="auto"/>
              </w:rPr>
            </w:pPr>
            <w:r>
              <w:rPr>
                <w:rFonts w:ascii="Arial" w:cs="Arial" w:eastAsia="Arial" w:hAnsi="Arial"/>
                <w:sz w:val="20"/>
                <w:szCs w:val="20"/>
                <w:color w:val="auto"/>
              </w:rPr>
              <w:t>Vested</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(1,073)</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18"/>
              <w:spacing w:after="0"/>
              <w:rPr>
                <w:sz w:val="20"/>
                <w:szCs w:val="20"/>
                <w:color w:val="auto"/>
              </w:rPr>
            </w:pPr>
            <w:r>
              <w:rPr>
                <w:rFonts w:ascii="Arial" w:cs="Arial" w:eastAsia="Arial" w:hAnsi="Arial"/>
                <w:sz w:val="20"/>
                <w:szCs w:val="20"/>
                <w:color w:val="auto"/>
              </w:rPr>
              <w:t>2.59</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(2,779)</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76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Forfeited or canceled</w:t>
            </w:r>
          </w:p>
        </w:tc>
        <w:tc>
          <w:tcPr>
            <w:tcW w:w="160" w:type="dxa"/>
            <w:vAlign w:val="bottom"/>
            <w:tcBorders>
              <w:bottom w:val="single" w:sz="8" w:color="D4EFF3"/>
            </w:tcBorders>
            <w:shd w:val="clear" w:color="auto" w:fill="D4EFF3"/>
          </w:tcPr>
          <w:p>
            <w:pPr>
              <w:spacing w:after="0"/>
              <w:rPr>
                <w:sz w:val="24"/>
                <w:szCs w:val="24"/>
                <w:color w:val="auto"/>
              </w:rPr>
            </w:pPr>
          </w:p>
        </w:tc>
        <w:tc>
          <w:tcPr>
            <w:tcW w:w="114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(1,665)</w:t>
            </w:r>
          </w:p>
        </w:tc>
        <w:tc>
          <w:tcPr>
            <w:tcW w:w="160" w:type="dxa"/>
            <w:vAlign w:val="bottom"/>
            <w:tcBorders>
              <w:bottom w:val="single" w:sz="8" w:color="D4EFF3"/>
            </w:tcBorders>
            <w:shd w:val="clear" w:color="auto" w:fill="D4EFF3"/>
          </w:tcPr>
          <w:p>
            <w:pPr>
              <w:spacing w:after="0"/>
              <w:rPr>
                <w:sz w:val="24"/>
                <w:szCs w:val="24"/>
                <w:color w:val="auto"/>
              </w:rPr>
            </w:pPr>
          </w:p>
        </w:tc>
        <w:tc>
          <w:tcPr>
            <w:tcW w:w="440" w:type="dxa"/>
            <w:vAlign w:val="bottom"/>
            <w:tcBorders>
              <w:bottom w:val="single" w:sz="8" w:color="auto"/>
            </w:tcBorders>
            <w:shd w:val="clear" w:color="auto" w:fill="D4EFF3"/>
          </w:tcPr>
          <w:p>
            <w:pPr>
              <w:spacing w:after="0"/>
              <w:rPr>
                <w:sz w:val="24"/>
                <w:szCs w:val="24"/>
                <w:color w:val="auto"/>
              </w:rPr>
            </w:pPr>
          </w:p>
        </w:tc>
        <w:tc>
          <w:tcPr>
            <w:tcW w:w="720" w:type="dxa"/>
            <w:vAlign w:val="bottom"/>
            <w:tcBorders>
              <w:bottom w:val="single" w:sz="8" w:color="auto"/>
            </w:tcBorders>
            <w:shd w:val="clear" w:color="auto" w:fill="D4EFF3"/>
          </w:tcPr>
          <w:p>
            <w:pPr>
              <w:jc w:val="right"/>
              <w:ind w:right="18"/>
              <w:spacing w:after="0"/>
              <w:rPr>
                <w:sz w:val="20"/>
                <w:szCs w:val="20"/>
                <w:color w:val="auto"/>
              </w:rPr>
            </w:pPr>
            <w:r>
              <w:rPr>
                <w:rFonts w:ascii="Arial" w:cs="Arial" w:eastAsia="Arial" w:hAnsi="Arial"/>
                <w:sz w:val="20"/>
                <w:szCs w:val="20"/>
                <w:color w:val="auto"/>
              </w:rPr>
              <w:t>2.34</w:t>
            </w:r>
          </w:p>
        </w:tc>
        <w:tc>
          <w:tcPr>
            <w:tcW w:w="140" w:type="dxa"/>
            <w:vAlign w:val="bottom"/>
            <w:tcBorders>
              <w:bottom w:val="single" w:sz="8" w:color="D4EFF3"/>
            </w:tcBorders>
            <w:shd w:val="clear" w:color="auto" w:fill="D4EFF3"/>
          </w:tcPr>
          <w:p>
            <w:pPr>
              <w:spacing w:after="0"/>
              <w:rPr>
                <w:sz w:val="24"/>
                <w:szCs w:val="24"/>
                <w:color w:val="auto"/>
              </w:rPr>
            </w:pPr>
          </w:p>
        </w:tc>
        <w:tc>
          <w:tcPr>
            <w:tcW w:w="360" w:type="dxa"/>
            <w:vAlign w:val="bottom"/>
            <w:tcBorders>
              <w:bottom w:val="single" w:sz="8" w:color="auto"/>
            </w:tcBorders>
            <w:shd w:val="clear" w:color="auto" w:fill="D4EFF3"/>
          </w:tcPr>
          <w:p>
            <w:pPr>
              <w:spacing w:after="0"/>
              <w:rPr>
                <w:sz w:val="24"/>
                <w:szCs w:val="24"/>
                <w:color w:val="auto"/>
              </w:rPr>
            </w:pPr>
          </w:p>
        </w:tc>
        <w:tc>
          <w:tcPr>
            <w:tcW w:w="8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(3,896)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Pr>
          <w:p>
            <w:pPr>
              <w:ind w:left="40"/>
              <w:spacing w:after="0"/>
              <w:rPr>
                <w:sz w:val="20"/>
                <w:szCs w:val="20"/>
                <w:color w:val="auto"/>
              </w:rPr>
            </w:pPr>
            <w:r>
              <w:rPr>
                <w:rFonts w:ascii="Arial" w:cs="Arial" w:eastAsia="Arial" w:hAnsi="Arial"/>
                <w:sz w:val="20"/>
                <w:szCs w:val="20"/>
                <w:color w:val="auto"/>
                <w:w w:val="99"/>
              </w:rPr>
              <w:t>Unvested, December 31, 2025</w:t>
            </w:r>
          </w:p>
        </w:tc>
        <w:tc>
          <w:tcPr>
            <w:tcW w:w="1300" w:type="dxa"/>
            <w:vAlign w:val="bottom"/>
            <w:gridSpan w:val="2"/>
          </w:tcPr>
          <w:p>
            <w:pPr>
              <w:jc w:val="right"/>
              <w:ind w:right="26"/>
              <w:spacing w:after="0"/>
              <w:rPr>
                <w:sz w:val="20"/>
                <w:szCs w:val="20"/>
                <w:color w:val="auto"/>
              </w:rPr>
            </w:pPr>
            <w:r>
              <w:rPr>
                <w:rFonts w:ascii="Arial" w:cs="Arial" w:eastAsia="Arial" w:hAnsi="Arial"/>
                <w:sz w:val="20"/>
                <w:szCs w:val="20"/>
                <w:color w:val="auto"/>
              </w:rPr>
              <w:t>1,028</w:t>
            </w:r>
          </w:p>
        </w:tc>
        <w:tc>
          <w:tcPr>
            <w:tcW w:w="600" w:type="dxa"/>
            <w:vAlign w:val="bottom"/>
            <w:gridSpan w:val="2"/>
          </w:tcPr>
          <w:p>
            <w:pPr>
              <w:jc w:val="right"/>
              <w:ind w:right="116"/>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8"/>
              <w:spacing w:after="0"/>
              <w:rPr>
                <w:sz w:val="20"/>
                <w:szCs w:val="20"/>
                <w:color w:val="auto"/>
              </w:rPr>
            </w:pPr>
            <w:r>
              <w:rPr>
                <w:rFonts w:ascii="Arial" w:cs="Arial" w:eastAsia="Arial" w:hAnsi="Arial"/>
                <w:sz w:val="20"/>
                <w:szCs w:val="20"/>
                <w:color w:val="auto"/>
              </w:rPr>
              <w:t>2.33</w:t>
            </w:r>
          </w:p>
        </w:tc>
        <w:tc>
          <w:tcPr>
            <w:tcW w:w="500" w:type="dxa"/>
            <w:vAlign w:val="bottom"/>
            <w:gridSpan w:val="2"/>
          </w:tcPr>
          <w:p>
            <w:pPr>
              <w:ind w:left="28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8"/>
              <w:spacing w:after="0"/>
              <w:rPr>
                <w:sz w:val="20"/>
                <w:szCs w:val="20"/>
                <w:color w:val="auto"/>
              </w:rPr>
            </w:pPr>
            <w:r>
              <w:rPr>
                <w:rFonts w:ascii="Arial" w:cs="Arial" w:eastAsia="Arial" w:hAnsi="Arial"/>
                <w:sz w:val="20"/>
                <w:szCs w:val="20"/>
                <w:color w:val="auto"/>
              </w:rPr>
              <w:t>2,395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2157730</wp:posOffset>
                </wp:positionH>
                <wp:positionV relativeFrom="paragraph">
                  <wp:posOffset>-1670050</wp:posOffset>
                </wp:positionV>
                <wp:extent cx="0" cy="1397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12">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9.9pt,-131.4999pt" to="169.9pt,-130.39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2987040</wp:posOffset>
                </wp:positionH>
                <wp:positionV relativeFrom="paragraph">
                  <wp:posOffset>-1670050</wp:posOffset>
                </wp:positionV>
                <wp:extent cx="0" cy="1397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2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2pt,-131.4999pt" to="235.2pt,-130.3999pt" o:allowincell="f" strokecolor="#000000" strokeweight="0.002pt"/>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-1670050</wp:posOffset>
                </wp:positionV>
                <wp:extent cx="0" cy="1397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8">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5pt,-131.4999pt" to="300.55pt,-130.3999pt" o:allowincell="f" strokecolor="#000000" strokeweight="0.003pt"/>
            </w:pict>
          </mc:Fallback>
        </mc:AlternateContent>
        <mc:AlternateContent>
          <mc:Choice Requires="wps">
            <w:drawing>
              <wp:anchor simplePos="0" relativeHeight="251657728" behindDoc="1" locked="0" layoutInCell="0" allowOverlap="1">
                <wp:simplePos x="0" y="0"/>
                <wp:positionH relativeFrom="column">
                  <wp:posOffset>2987040</wp:posOffset>
                </wp:positionH>
                <wp:positionV relativeFrom="paragraph">
                  <wp:posOffset>-940435</wp:posOffset>
                </wp:positionV>
                <wp:extent cx="0" cy="1397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25">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2pt,-74.0499pt" to="235.2pt,-72.9499pt" o:allowincell="f" strokecolor="#000000" strokeweight="0.002pt"/>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-940435</wp:posOffset>
                </wp:positionV>
                <wp:extent cx="0" cy="1397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8">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5pt,-74.0499pt" to="300.55pt,-72.9499pt" o:allowincell="f" strokecolor="#000000" strokeweight="0.003pt"/>
            </w:pict>
          </mc:Fallback>
        </mc:AlternateContent>
        <mc:AlternateContent>
          <mc:Choice Requires="wps">
            <w:drawing>
              <wp:anchor simplePos="0" relativeHeight="251657728" behindDoc="1" locked="0" layoutInCell="0" allowOverlap="1">
                <wp:simplePos x="0" y="0"/>
                <wp:positionH relativeFrom="column">
                  <wp:posOffset>2987040</wp:posOffset>
                </wp:positionH>
                <wp:positionV relativeFrom="paragraph">
                  <wp:posOffset>-758190</wp:posOffset>
                </wp:positionV>
                <wp:extent cx="0" cy="1397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2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2pt,-59.6999pt" to="235.2pt,-58.5999pt" o:allowincell="f" strokecolor="#000000" strokeweight="0.002pt"/>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-758190</wp:posOffset>
                </wp:positionV>
                <wp:extent cx="0" cy="1397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8">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5pt,-59.6999pt" to="300.55pt,-58.5999pt" o:allowincell="f" strokecolor="#000000" strokeweight="0.003pt"/>
            </w:pict>
          </mc:Fallback>
        </mc:AlternateContent>
        <mc:AlternateContent>
          <mc:Choice Requires="wps">
            <w:drawing>
              <wp:anchor simplePos="0" relativeHeight="251657728" behindDoc="1" locked="0" layoutInCell="0" allowOverlap="1">
                <wp:simplePos x="0" y="0"/>
                <wp:positionH relativeFrom="column">
                  <wp:posOffset>2987040</wp:posOffset>
                </wp:positionH>
                <wp:positionV relativeFrom="paragraph">
                  <wp:posOffset>-28575</wp:posOffset>
                </wp:positionV>
                <wp:extent cx="0" cy="2857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5">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2pt,-2.2499pt" to="235.2pt,0pt" o:allowincell="f" strokecolor="#000000" strokeweight="0.002pt"/>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-28575</wp:posOffset>
                </wp:positionV>
                <wp:extent cx="0" cy="2857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38">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5pt,-2.2499pt" to="300.55pt,0pt" o:allowincell="f" strokecolor="#000000" strokeweight="0.003pt"/>
            </w:pict>
          </mc:Fallback>
        </mc:AlternateContent>
        <mc:AlternateContent>
          <mc:Choice Requires="wps">
            <w:drawing>
              <wp:anchor simplePos="0" relativeHeight="251657728" behindDoc="1" locked="0" layoutInCell="0" allowOverlap="1">
                <wp:simplePos x="0" y="0"/>
                <wp:positionH relativeFrom="column">
                  <wp:posOffset>4646295</wp:posOffset>
                </wp:positionH>
                <wp:positionV relativeFrom="paragraph">
                  <wp:posOffset>-1670050</wp:posOffset>
                </wp:positionV>
                <wp:extent cx="0" cy="1397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5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85pt,-131.4999pt" to="365.85pt,-130.3999pt" o:allowincell="f" strokecolor="#000000" strokeweight="0.0039pt"/>
            </w:pict>
          </mc:Fallback>
        </mc:AlternateContent>
        <mc:AlternateContent>
          <mc:Choice Requires="wps">
            <w:drawing>
              <wp:anchor simplePos="0" relativeHeight="251657728" behindDoc="1" locked="0" layoutInCell="0" allowOverlap="1">
                <wp:simplePos x="0" y="0"/>
                <wp:positionH relativeFrom="column">
                  <wp:posOffset>4646295</wp:posOffset>
                </wp:positionH>
                <wp:positionV relativeFrom="paragraph">
                  <wp:posOffset>-940435</wp:posOffset>
                </wp:positionV>
                <wp:extent cx="0" cy="1397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5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85pt,-74.0499pt" to="365.85pt,-72.9499pt" o:allowincell="f" strokecolor="#000000" strokeweight="0.0039pt"/>
            </w:pict>
          </mc:Fallback>
        </mc:AlternateContent>
        <mc:AlternateContent>
          <mc:Choice Requires="wps">
            <w:drawing>
              <wp:anchor simplePos="0" relativeHeight="251657728" behindDoc="1" locked="0" layoutInCell="0" allowOverlap="1">
                <wp:simplePos x="0" y="0"/>
                <wp:positionH relativeFrom="column">
                  <wp:posOffset>4646295</wp:posOffset>
                </wp:positionH>
                <wp:positionV relativeFrom="paragraph">
                  <wp:posOffset>-758190</wp:posOffset>
                </wp:positionV>
                <wp:extent cx="0" cy="1397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5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85pt,-59.6999pt" to="365.85pt,-58.5999pt" o:allowincell="f" strokecolor="#000000" strokeweight="0.0039pt"/>
            </w:pict>
          </mc:Fallback>
        </mc:AlternateContent>
        <mc:AlternateContent>
          <mc:Choice Requires="wps">
            <w:drawing>
              <wp:anchor simplePos="0" relativeHeight="251657728" behindDoc="1" locked="0" layoutInCell="0" allowOverlap="1">
                <wp:simplePos x="0" y="0"/>
                <wp:positionH relativeFrom="column">
                  <wp:posOffset>4646295</wp:posOffset>
                </wp:positionH>
                <wp:positionV relativeFrom="paragraph">
                  <wp:posOffset>-211455</wp:posOffset>
                </wp:positionV>
                <wp:extent cx="0" cy="1397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5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85pt,-16.6499pt" to="365.85pt,-15.5499pt" o:allowincell="f" strokecolor="#000000" strokeweight="0.0039pt"/>
            </w:pict>
          </mc:Fallback>
        </mc:AlternateContent>
        <mc:AlternateContent>
          <mc:Choice Requires="wps">
            <w:drawing>
              <wp:anchor simplePos="0" relativeHeight="251657728" behindDoc="1" locked="0" layoutInCell="0" allowOverlap="1">
                <wp:simplePos x="0" y="0"/>
                <wp:positionH relativeFrom="column">
                  <wp:posOffset>4646295</wp:posOffset>
                </wp:positionH>
                <wp:positionV relativeFrom="paragraph">
                  <wp:posOffset>-28575</wp:posOffset>
                </wp:positionV>
                <wp:extent cx="0" cy="2857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5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85pt,-2.2499pt" to="365.85pt,0pt" o:allowincell="f" strokecolor="#000000" strokeweight="0.0039pt"/>
            </w:pict>
          </mc:Fallback>
        </mc:AlternateContent>
      </w:r>
    </w:p>
    <w:p>
      <w:pPr>
        <w:spacing w:after="0" w:line="260" w:lineRule="exact"/>
        <w:rPr>
          <w:sz w:val="20"/>
          <w:szCs w:val="20"/>
          <w:color w:val="auto"/>
        </w:rPr>
      </w:pPr>
    </w:p>
    <w:p>
      <w:pPr>
        <w:ind w:left="580" w:right="120"/>
        <w:spacing w:after="0" w:line="282" w:lineRule="auto"/>
        <w:rPr>
          <w:sz w:val="20"/>
          <w:szCs w:val="20"/>
          <w:color w:val="auto"/>
        </w:rPr>
      </w:pPr>
      <w:r>
        <w:rPr>
          <w:rFonts w:ascii="Arial" w:cs="Arial" w:eastAsia="Arial" w:hAnsi="Arial"/>
          <w:sz w:val="20"/>
          <w:szCs w:val="20"/>
          <w:color w:val="auto"/>
        </w:rPr>
        <w:t>Weighted average price per share is the weighted grant price based on the closing market price of each of the stock grants. The weighted average fair value is the weighted average share price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2240" w:h="15840" w:orient="portrait"/>
          <w:cols w:equalWidth="0" w:num="1">
            <w:col w:w="9360"/>
          </w:cols>
          <w:pgMar w:left="1440" w:top="1428" w:right="1440" w:bottom="393" w:gutter="0" w:footer="0" w:header="0"/>
        </w:sectPr>
      </w:pPr>
    </w:p>
    <w:bookmarkStart w:id="121" w:name="page122"/>
    <w:bookmarkEnd w:id="121"/>
    <w:p>
      <w:pPr>
        <w:ind w:left="580"/>
        <w:spacing w:after="0"/>
        <w:rPr>
          <w:sz w:val="20"/>
          <w:szCs w:val="20"/>
          <w:color w:val="auto"/>
        </w:rPr>
      </w:pPr>
      <w:r>
        <w:rPr>
          <w:rFonts w:ascii="Arial" w:cs="Arial" w:eastAsia="Arial" w:hAnsi="Arial"/>
          <w:sz w:val="20"/>
          <w:szCs w:val="20"/>
          <w:color w:val="auto"/>
        </w:rPr>
        <w:t>times the number of shares.</w:t>
      </w:r>
    </w:p>
    <w:p>
      <w:pPr>
        <w:spacing w:after="0" w:line="240" w:lineRule="exact"/>
        <w:rPr>
          <w:sz w:val="20"/>
          <w:szCs w:val="20"/>
          <w:color w:val="auto"/>
        </w:rPr>
      </w:pPr>
    </w:p>
    <w:p>
      <w:pPr>
        <w:ind w:left="580" w:right="340"/>
        <w:spacing w:after="0" w:line="250" w:lineRule="auto"/>
        <w:rPr>
          <w:sz w:val="20"/>
          <w:szCs w:val="20"/>
          <w:color w:val="auto"/>
        </w:rPr>
      </w:pPr>
      <w:r>
        <w:rPr>
          <w:rFonts w:ascii="Arial" w:cs="Arial" w:eastAsia="Arial" w:hAnsi="Arial"/>
          <w:sz w:val="20"/>
          <w:szCs w:val="20"/>
          <w:color w:val="auto"/>
        </w:rPr>
        <w:t>As of December 31, 2025, remaining unrecognized compensation cost related to RSUs to be recognized in future periods totaled $1.6 million, which is expected to be recognized over a weighted average period of 1.2 years. As of December 31, 2025, the total unrecognized compensation cost from all plans to be recognized in future periods totaled approximately $15.3 million.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2025 Inducement Plan</w:t>
      </w:r>
    </w:p>
    <w:p>
      <w:pPr>
        <w:spacing w:after="0" w:line="244" w:lineRule="exact"/>
        <w:rPr>
          <w:sz w:val="20"/>
          <w:szCs w:val="20"/>
          <w:color w:val="auto"/>
        </w:rPr>
      </w:pPr>
    </w:p>
    <w:p>
      <w:pPr>
        <w:ind w:left="580" w:right="100"/>
        <w:spacing w:after="0" w:line="244" w:lineRule="auto"/>
        <w:rPr>
          <w:sz w:val="20"/>
          <w:szCs w:val="20"/>
          <w:color w:val="auto"/>
        </w:rPr>
      </w:pPr>
      <w:r>
        <w:rPr>
          <w:rFonts w:ascii="Arial" w:cs="Arial" w:eastAsia="Arial" w:hAnsi="Arial"/>
          <w:sz w:val="20"/>
          <w:szCs w:val="20"/>
          <w:color w:val="auto"/>
        </w:rPr>
        <w:t>In December 2025, the Company’s board of directors adopted the Compass Therapeutics, Inc. 2025 Inducement Plan (the “Inducement Plan”). The purpose of the Inducement Plan is to enable the Company to grant equity awards to induce highly-qualified prospective officers and employees to accept employment and provide them with a proprietary interest in the Company. The Company intends that the Inducement Plan be reserved for persons to whom the Company may issue securities without stockholder approval as an inducement pursuant to Rule 5635(c)(4) of the Marketplace Rules of The NASDAQ Stock Market LLC. The maximum number of shares of Stock reserved and available for issuance under the Inducement Plan is four million shares. As of December 31, 2025, no equity had been granted or outstanding with the Inducement Plan. On January 1, 2026, a total of two million options were granted as part of the Inducement Plan to two new officers as a material inducement for those officers to join the Company.</w:t>
      </w:r>
    </w:p>
    <w:p>
      <w:pPr>
        <w:spacing w:after="0" w:line="200" w:lineRule="exact"/>
        <w:rPr>
          <w:sz w:val="20"/>
          <w:szCs w:val="20"/>
          <w:color w:val="auto"/>
        </w:rPr>
      </w:pPr>
    </w:p>
    <w:p>
      <w:pPr>
        <w:spacing w:after="0" w:line="225" w:lineRule="exact"/>
        <w:rPr>
          <w:sz w:val="20"/>
          <w:szCs w:val="20"/>
          <w:color w:val="auto"/>
        </w:rPr>
      </w:pPr>
    </w:p>
    <w:p>
      <w:pPr>
        <w:ind w:left="580" w:hanging="580"/>
        <w:spacing w:after="0"/>
        <w:tabs>
          <w:tab w:leader="none" w:pos="58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Basic and Diluted Net Loss Per Share</w:t>
      </w:r>
    </w:p>
    <w:p>
      <w:pPr>
        <w:spacing w:after="0" w:line="231" w:lineRule="exact"/>
        <w:rPr>
          <w:rFonts w:ascii="Arial" w:cs="Arial" w:eastAsia="Arial" w:hAnsi="Arial"/>
          <w:sz w:val="20"/>
          <w:szCs w:val="20"/>
          <w:b w:val="1"/>
          <w:bCs w:val="1"/>
          <w:color w:val="auto"/>
        </w:rPr>
      </w:pPr>
    </w:p>
    <w:p>
      <w:pPr>
        <w:ind w:left="580" w:right="6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Basic net loss per share has been computed by dividing net loss by the weighted-average number of shares of common stock outstanding during the period. Diluted net loss per share is calculated by dividing net loss by the weighted-average number of shares of common stock plus potentially dilutive securities outstanding during the period. Potential shares of common stock exercisable for little or no consideration are included in both basic and diluted weighted-average number of shares of common stock outstanding.</w:t>
      </w:r>
    </w:p>
    <w:p>
      <w:pPr>
        <w:spacing w:after="0" w:line="185" w:lineRule="exact"/>
        <w:rPr>
          <w:rFonts w:ascii="Arial" w:cs="Arial" w:eastAsia="Arial" w:hAnsi="Arial"/>
          <w:sz w:val="20"/>
          <w:szCs w:val="20"/>
          <w:b w:val="1"/>
          <w:bCs w:val="1"/>
          <w:color w:val="auto"/>
        </w:rPr>
      </w:pPr>
    </w:p>
    <w:p>
      <w:pPr>
        <w:ind w:left="580" w:right="120"/>
        <w:spacing w:after="0" w:line="271" w:lineRule="auto"/>
        <w:rPr>
          <w:rFonts w:ascii="Arial" w:cs="Arial" w:eastAsia="Arial" w:hAnsi="Arial"/>
          <w:sz w:val="20"/>
          <w:szCs w:val="20"/>
          <w:b w:val="1"/>
          <w:bCs w:val="1"/>
          <w:color w:val="auto"/>
        </w:rPr>
      </w:pPr>
      <w:r>
        <w:rPr>
          <w:rFonts w:ascii="Arial" w:cs="Arial" w:eastAsia="Arial" w:hAnsi="Arial"/>
          <w:sz w:val="19"/>
          <w:szCs w:val="19"/>
          <w:color w:val="auto"/>
        </w:rPr>
        <w:t>During the year ended December 31, 2025, basic and diluted weighted-average number of shares outstanding were 157.7 million and included pre-funded warrants to purchase 6,710,000 shares of common stock with an exercise price of $0.0001 per share. During the year ended December 31, 2024, basic and diluted weighted-average number of shares outstanding were 137.4 million.</w:t>
      </w:r>
    </w:p>
    <w:p>
      <w:pPr>
        <w:spacing w:after="0" w:line="163" w:lineRule="exact"/>
        <w:rPr>
          <w:rFonts w:ascii="Arial" w:cs="Arial" w:eastAsia="Arial" w:hAnsi="Arial"/>
          <w:sz w:val="20"/>
          <w:szCs w:val="20"/>
          <w:b w:val="1"/>
          <w:bCs w:val="1"/>
          <w:color w:val="auto"/>
        </w:rPr>
      </w:pPr>
    </w:p>
    <w:p>
      <w:pPr>
        <w:ind w:left="580"/>
        <w:spacing w:after="0"/>
        <w:rPr>
          <w:rFonts w:ascii="Arial" w:cs="Arial" w:eastAsia="Arial" w:hAnsi="Arial"/>
          <w:sz w:val="20"/>
          <w:szCs w:val="20"/>
          <w:b w:val="1"/>
          <w:bCs w:val="1"/>
          <w:color w:val="auto"/>
        </w:rPr>
      </w:pPr>
      <w:r>
        <w:rPr>
          <w:rFonts w:ascii="Arial" w:cs="Arial" w:eastAsia="Arial" w:hAnsi="Arial"/>
          <w:sz w:val="20"/>
          <w:szCs w:val="20"/>
          <w:color w:val="auto"/>
        </w:rPr>
        <w:t>The computation of diluted net loss per share for the year ended December 31, 2025 excluded</w:t>
      </w:r>
    </w:p>
    <w:p>
      <w:pPr>
        <w:spacing w:after="0" w:line="26" w:lineRule="exact"/>
        <w:rPr>
          <w:rFonts w:ascii="Arial" w:cs="Arial" w:eastAsia="Arial" w:hAnsi="Arial"/>
          <w:sz w:val="20"/>
          <w:szCs w:val="20"/>
          <w:b w:val="1"/>
          <w:bCs w:val="1"/>
          <w:color w:val="auto"/>
        </w:rPr>
      </w:pPr>
    </w:p>
    <w:p>
      <w:pPr>
        <w:ind w:left="580" w:firstLine="1"/>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17.4 million shares subject to outstanding stock options and restricted stock units because their inclusion would have had an anti-dilutive effect on diluted net loss per share. The computation of diluted net loss per share for the year ended December 31, 2024 excluded 17.8 million shares, subject to outstanding stock options and restricted stock because their inclusion would have had an anti-dilutive effect on diluted net loss per share. The following potentially dilutive securities (in common stock equivalents) have been excluded from the computation of diluted weighted-average shares outstanding for the years ended December 31, 2025 and 2024, as they would be antidilutive:</w:t>
      </w:r>
    </w:p>
    <w:p>
      <w:pPr>
        <w:spacing w:after="0" w:line="212" w:lineRule="exact"/>
        <w:rPr>
          <w:sz w:val="20"/>
          <w:szCs w:val="20"/>
          <w:color w:val="auto"/>
        </w:rPr>
      </w:pPr>
    </w:p>
    <w:tbl>
      <w:tblPr>
        <w:tblLayout w:type="fixed"/>
        <w:tblInd w:w="600" w:type="dxa"/>
        <w:tblCellMar>
          <w:top w:w="0" w:type="dxa"/>
          <w:left w:w="0" w:type="dxa"/>
          <w:bottom w:w="0" w:type="dxa"/>
          <w:right w:w="0" w:type="dxa"/>
        </w:tblCellMar>
      </w:tblPr>
      <w:tr>
        <w:trPr>
          <w:trHeight w:val="247"/>
        </w:trPr>
        <w:tc>
          <w:tcPr>
            <w:tcW w:w="2900" w:type="dxa"/>
            <w:vAlign w:val="bottom"/>
          </w:tcPr>
          <w:p>
            <w:pPr>
              <w:spacing w:after="0"/>
              <w:rPr>
                <w:sz w:val="21"/>
                <w:szCs w:val="21"/>
                <w:color w:val="auto"/>
              </w:rPr>
            </w:pPr>
          </w:p>
        </w:tc>
        <w:tc>
          <w:tcPr>
            <w:tcW w:w="2520" w:type="dxa"/>
            <w:vAlign w:val="bottom"/>
            <w:gridSpan w:val="3"/>
          </w:tcPr>
          <w:p>
            <w:pPr>
              <w:ind w:left="1180"/>
              <w:spacing w:after="0"/>
              <w:rPr>
                <w:sz w:val="20"/>
                <w:szCs w:val="20"/>
                <w:color w:val="auto"/>
              </w:rPr>
            </w:pPr>
            <w:r>
              <w:rPr>
                <w:rFonts w:ascii="Arial" w:cs="Arial" w:eastAsia="Arial" w:hAnsi="Arial"/>
                <w:sz w:val="19"/>
                <w:szCs w:val="19"/>
                <w:b w:val="1"/>
                <w:bCs w:val="1"/>
                <w:color w:val="auto"/>
              </w:rPr>
              <w:t>December 31,</w:t>
            </w:r>
          </w:p>
        </w:tc>
        <w:tc>
          <w:tcPr>
            <w:tcW w:w="1140" w:type="dxa"/>
            <w:vAlign w:val="bottom"/>
          </w:tcPr>
          <w:p>
            <w:pPr>
              <w:spacing w:after="0"/>
              <w:rPr>
                <w:sz w:val="21"/>
                <w:szCs w:val="21"/>
                <w:color w:val="auto"/>
              </w:rPr>
            </w:pPr>
          </w:p>
        </w:tc>
      </w:tr>
      <w:tr>
        <w:trPr>
          <w:trHeight w:val="232"/>
        </w:trPr>
        <w:tc>
          <w:tcPr>
            <w:tcW w:w="290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9"/>
                <w:szCs w:val="19"/>
                <w:b w:val="1"/>
                <w:bCs w:val="1"/>
                <w:color w:val="auto"/>
              </w:rPr>
              <w:t>2025</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9"/>
                <w:szCs w:val="19"/>
                <w:b w:val="1"/>
                <w:bCs w:val="1"/>
                <w:color w:val="auto"/>
              </w:rPr>
              <w:t>2024</w:t>
            </w:r>
          </w:p>
        </w:tc>
      </w:tr>
      <w:tr>
        <w:trPr>
          <w:trHeight w:val="277"/>
        </w:trPr>
        <w:tc>
          <w:tcPr>
            <w:tcW w:w="2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7"/>
        </w:trPr>
        <w:tc>
          <w:tcPr>
            <w:tcW w:w="2900" w:type="dxa"/>
            <w:vAlign w:val="bottom"/>
            <w:shd w:val="clear" w:color="auto" w:fill="D4EFF3"/>
          </w:tcPr>
          <w:p>
            <w:pPr>
              <w:ind w:left="20"/>
              <w:spacing w:after="0"/>
              <w:rPr>
                <w:sz w:val="20"/>
                <w:szCs w:val="20"/>
                <w:color w:val="auto"/>
              </w:rPr>
            </w:pPr>
            <w:r>
              <w:rPr>
                <w:rFonts w:ascii="Arial" w:cs="Arial" w:eastAsia="Arial" w:hAnsi="Arial"/>
                <w:sz w:val="19"/>
                <w:szCs w:val="19"/>
                <w:color w:val="auto"/>
              </w:rPr>
              <w:t>Stock options</w:t>
            </w:r>
          </w:p>
        </w:tc>
        <w:tc>
          <w:tcPr>
            <w:tcW w:w="1760" w:type="dxa"/>
            <w:vAlign w:val="bottom"/>
            <w:shd w:val="clear" w:color="auto" w:fill="D4EFF3"/>
          </w:tcPr>
          <w:p>
            <w:pPr>
              <w:jc w:val="right"/>
              <w:ind w:right="4"/>
              <w:spacing w:after="0"/>
              <w:rPr>
                <w:sz w:val="20"/>
                <w:szCs w:val="20"/>
                <w:color w:val="auto"/>
              </w:rPr>
            </w:pPr>
            <w:r>
              <w:rPr>
                <w:rFonts w:ascii="Arial" w:cs="Arial" w:eastAsia="Arial" w:hAnsi="Arial"/>
                <w:sz w:val="19"/>
                <w:szCs w:val="19"/>
                <w:color w:val="auto"/>
              </w:rPr>
              <w:t>16,352,430</w:t>
            </w:r>
          </w:p>
        </w:tc>
        <w:tc>
          <w:tcPr>
            <w:tcW w:w="160" w:type="dxa"/>
            <w:vAlign w:val="bottom"/>
            <w:shd w:val="clear" w:color="auto" w:fill="D4EFF3"/>
          </w:tcPr>
          <w:p>
            <w:pPr>
              <w:spacing w:after="0"/>
              <w:rPr>
                <w:sz w:val="23"/>
                <w:szCs w:val="23"/>
                <w:color w:val="auto"/>
              </w:rPr>
            </w:pPr>
          </w:p>
        </w:tc>
        <w:tc>
          <w:tcPr>
            <w:tcW w:w="600" w:type="dxa"/>
            <w:vAlign w:val="bottom"/>
            <w:shd w:val="clear" w:color="auto" w:fill="D4EFF3"/>
          </w:tcPr>
          <w:p>
            <w:pPr>
              <w:spacing w:after="0"/>
              <w:rPr>
                <w:sz w:val="23"/>
                <w:szCs w:val="23"/>
                <w:color w:val="auto"/>
              </w:rPr>
            </w:pPr>
          </w:p>
        </w:tc>
        <w:tc>
          <w:tcPr>
            <w:tcW w:w="1140" w:type="dxa"/>
            <w:vAlign w:val="bottom"/>
            <w:shd w:val="clear" w:color="auto" w:fill="D4EFF3"/>
          </w:tcPr>
          <w:p>
            <w:pPr>
              <w:jc w:val="right"/>
              <w:ind w:right="4"/>
              <w:spacing w:after="0"/>
              <w:rPr>
                <w:sz w:val="20"/>
                <w:szCs w:val="20"/>
                <w:color w:val="auto"/>
              </w:rPr>
            </w:pPr>
            <w:r>
              <w:rPr>
                <w:rFonts w:ascii="Arial" w:cs="Arial" w:eastAsia="Arial" w:hAnsi="Arial"/>
                <w:sz w:val="19"/>
                <w:szCs w:val="19"/>
                <w:color w:val="auto"/>
              </w:rPr>
              <w:t>14,061,604</w:t>
            </w:r>
          </w:p>
        </w:tc>
      </w:tr>
      <w:tr>
        <w:trPr>
          <w:trHeight w:val="263"/>
        </w:trPr>
        <w:tc>
          <w:tcPr>
            <w:tcW w:w="2900" w:type="dxa"/>
            <w:vAlign w:val="bottom"/>
          </w:tcPr>
          <w:p>
            <w:pPr>
              <w:ind w:left="20"/>
              <w:spacing w:after="0"/>
              <w:rPr>
                <w:sz w:val="20"/>
                <w:szCs w:val="20"/>
                <w:color w:val="auto"/>
              </w:rPr>
            </w:pPr>
            <w:r>
              <w:rPr>
                <w:rFonts w:ascii="Arial" w:cs="Arial" w:eastAsia="Arial" w:hAnsi="Arial"/>
                <w:sz w:val="19"/>
                <w:szCs w:val="19"/>
                <w:color w:val="auto"/>
              </w:rPr>
              <w:t>Restricted stock units</w:t>
            </w:r>
          </w:p>
        </w:tc>
        <w:tc>
          <w:tcPr>
            <w:tcW w:w="1760" w:type="dxa"/>
            <w:vAlign w:val="bottom"/>
          </w:tcPr>
          <w:p>
            <w:pPr>
              <w:jc w:val="right"/>
              <w:ind w:right="4"/>
              <w:spacing w:after="0"/>
              <w:rPr>
                <w:sz w:val="20"/>
                <w:szCs w:val="20"/>
                <w:color w:val="auto"/>
              </w:rPr>
            </w:pPr>
            <w:r>
              <w:rPr>
                <w:rFonts w:ascii="Arial" w:cs="Arial" w:eastAsia="Arial" w:hAnsi="Arial"/>
                <w:sz w:val="19"/>
                <w:szCs w:val="19"/>
                <w:color w:val="auto"/>
              </w:rPr>
              <w:t>1,028,125</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jc w:val="right"/>
              <w:ind w:right="4"/>
              <w:spacing w:after="0"/>
              <w:rPr>
                <w:sz w:val="20"/>
                <w:szCs w:val="20"/>
                <w:color w:val="auto"/>
              </w:rPr>
            </w:pPr>
            <w:r>
              <w:rPr>
                <w:rFonts w:ascii="Arial" w:cs="Arial" w:eastAsia="Arial" w:hAnsi="Arial"/>
                <w:sz w:val="19"/>
                <w:szCs w:val="19"/>
                <w:color w:val="auto"/>
              </w:rPr>
              <w:t>3,765,625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3340100</wp:posOffset>
                </wp:positionH>
                <wp:positionV relativeFrom="paragraph">
                  <wp:posOffset>-690880</wp:posOffset>
                </wp:positionV>
                <wp:extent cx="0" cy="158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61">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pt,-54.3999pt" to="263pt,-53.1499pt" o:allowincell="f" strokecolor="#000000" strokeweight="0.0048pt"/>
            </w:pict>
          </mc:Fallback>
        </mc:AlternateContent>
        <mc:AlternateContent>
          <mc:Choice Requires="wps">
            <w:drawing>
              <wp:anchor simplePos="0" relativeHeight="251657728" behindDoc="1" locked="0" layoutInCell="0" allowOverlap="1">
                <wp:simplePos x="0" y="0"/>
                <wp:positionH relativeFrom="column">
                  <wp:posOffset>3340100</wp:posOffset>
                </wp:positionH>
                <wp:positionV relativeFrom="paragraph">
                  <wp:posOffset>-530860</wp:posOffset>
                </wp:positionV>
                <wp:extent cx="0" cy="1587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61">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pt,-41.7999pt" to="263pt,-40.5499pt" o:allowincell="f" strokecolor="#000000" strokeweight="0.0048pt"/>
            </w:pict>
          </mc:Fallback>
        </mc:AlternateContent>
        <mc:AlternateContent>
          <mc:Choice Requires="wps">
            <w:drawing>
              <wp:anchor simplePos="0" relativeHeight="251657728" behindDoc="1" locked="0" layoutInCell="0" allowOverlap="1">
                <wp:simplePos x="0" y="0"/>
                <wp:positionH relativeFrom="column">
                  <wp:posOffset>4547235</wp:posOffset>
                </wp:positionH>
                <wp:positionV relativeFrom="paragraph">
                  <wp:posOffset>-690880</wp:posOffset>
                </wp:positionV>
                <wp:extent cx="0" cy="1587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58">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05pt,-54.3999pt" to="358.05pt,-53.1499pt" o:allowincell="f" strokecolor="#000000" strokeweight="0.0046pt"/>
            </w:pict>
          </mc:Fallback>
        </mc:AlternateContent>
        <mc:AlternateContent>
          <mc:Choice Requires="wps">
            <w:drawing>
              <wp:anchor simplePos="0" relativeHeight="251657728" behindDoc="1" locked="0" layoutInCell="0" allowOverlap="1">
                <wp:simplePos x="0" y="0"/>
                <wp:positionH relativeFrom="column">
                  <wp:posOffset>4547235</wp:posOffset>
                </wp:positionH>
                <wp:positionV relativeFrom="paragraph">
                  <wp:posOffset>-530860</wp:posOffset>
                </wp:positionV>
                <wp:extent cx="0" cy="1587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75"/>
                        </a:xfrm>
                        <a:prstGeom prst="line">
                          <a:avLst/>
                        </a:prstGeom>
                        <a:solidFill>
                          <a:srgbClr val="FFFFFF"/>
                        </a:solidFill>
                        <a:ln w="58">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05pt,-41.7999pt" to="358.05pt,-40.5499pt" o:allowincell="f" strokecolor="#000000" strokeweight="0.004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2240" w:h="15840" w:orient="portrait"/>
          <w:cols w:equalWidth="0" w:num="1">
            <w:col w:w="9360"/>
          </w:cols>
          <w:pgMar w:left="1440" w:top="1420" w:right="1440" w:bottom="393" w:gutter="0" w:footer="0" w:header="0"/>
        </w:sectPr>
      </w:pPr>
    </w:p>
    <w:bookmarkStart w:id="122" w:name="page123"/>
    <w:bookmarkEnd w:id="122"/>
    <w:p>
      <w:pPr>
        <w:spacing w:after="0" w:line="200" w:lineRule="exact"/>
        <w:rPr>
          <w:sz w:val="20"/>
          <w:szCs w:val="20"/>
          <w:color w:val="auto"/>
        </w:rPr>
      </w:pPr>
    </w:p>
    <w:p>
      <w:pPr>
        <w:spacing w:after="0" w:line="236" w:lineRule="exact"/>
        <w:rPr>
          <w:sz w:val="20"/>
          <w:szCs w:val="20"/>
          <w:color w:val="auto"/>
        </w:rPr>
      </w:pPr>
    </w:p>
    <w:p>
      <w:pPr>
        <w:ind w:left="580" w:right="4060" w:hanging="580"/>
        <w:spacing w:after="0" w:line="494" w:lineRule="auto"/>
        <w:tabs>
          <w:tab w:leader="none" w:pos="58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License, Research and Collaboration Agreements Collaboration Agreements</w:t>
      </w:r>
    </w:p>
    <w:p>
      <w:pPr>
        <w:spacing w:after="0" w:line="1" w:lineRule="exact"/>
        <w:rPr>
          <w:rFonts w:ascii="Arial" w:cs="Arial" w:eastAsia="Arial" w:hAnsi="Arial"/>
          <w:sz w:val="20"/>
          <w:szCs w:val="20"/>
          <w:b w:val="1"/>
          <w:bCs w:val="1"/>
          <w:color w:val="auto"/>
        </w:rPr>
      </w:pPr>
    </w:p>
    <w:p>
      <w:pPr>
        <w:ind w:left="580"/>
        <w:spacing w:after="0"/>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ABL Bio Corporation ("ABL Bio") Agreements</w:t>
      </w:r>
    </w:p>
    <w:p>
      <w:pPr>
        <w:spacing w:after="0" w:line="236" w:lineRule="exact"/>
        <w:rPr>
          <w:rFonts w:ascii="Arial" w:cs="Arial" w:eastAsia="Arial" w:hAnsi="Arial"/>
          <w:sz w:val="20"/>
          <w:szCs w:val="20"/>
          <w:b w:val="1"/>
          <w:bCs w:val="1"/>
          <w:color w:val="auto"/>
        </w:rPr>
      </w:pPr>
    </w:p>
    <w:p>
      <w:pPr>
        <w:ind w:left="580" w:right="10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In November 2018, the Company and ABL Bio, a South Korean biotechnology company, entered into an exclusive global (excluding South Korea) license agreement which granted the Company a license to tovecimig (ABL001), ABL Bio’s bispecific antibody targeting DLL4 and VEGF-A. Under the terms of the agreement, the two companies would jointly develop tovecimig, with ABL Bio responsible for development of tovecimig throughout the end of Phase 1 clinical trials and the Company responsible for the development of tovecimig from Phase 2 and onward. ABL Bio received a $5 million upfront payment and $6 million development milestone payment. In addition, ABL Bio is eligible to receive up to $96 million of development and regulatory milestone payments, and up to $303 million of commercial milestone payments and tiered single-digit royalties on net sales of tovecimig in oncology. ABL Bio is also eligible to receive up to $75 million in development and regulatory milestones and up to $110 million in commercial milestone payments and tiered, single-digit royalties on net sales of tovecimig in ophthalmology.</w:t>
      </w:r>
    </w:p>
    <w:p>
      <w:pPr>
        <w:spacing w:after="0" w:line="206" w:lineRule="exact"/>
        <w:rPr>
          <w:rFonts w:ascii="Arial" w:cs="Arial" w:eastAsia="Arial" w:hAnsi="Arial"/>
          <w:sz w:val="20"/>
          <w:szCs w:val="20"/>
          <w:b w:val="1"/>
          <w:bCs w:val="1"/>
          <w:color w:val="auto"/>
        </w:rPr>
      </w:pPr>
    </w:p>
    <w:p>
      <w:pPr>
        <w:ind w:left="580" w:right="14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In May 2021, TRIGR and ABL Bio terminated license agreements to several preclinical assets. As a result of the return of these assets to ABL Bio and termination of the license agreements, the Company is eligible to receive royalty payments if ABL Bio develops or licenses two bispecific antibodies that were previously licensed to TRIGR.</w:t>
      </w:r>
    </w:p>
    <w:p>
      <w:pPr>
        <w:spacing w:after="0" w:line="200" w:lineRule="exact"/>
        <w:rPr>
          <w:rFonts w:ascii="Arial" w:cs="Arial" w:eastAsia="Arial" w:hAnsi="Arial"/>
          <w:sz w:val="20"/>
          <w:szCs w:val="20"/>
          <w:b w:val="1"/>
          <w:bCs w:val="1"/>
          <w:color w:val="auto"/>
        </w:rPr>
      </w:pPr>
    </w:p>
    <w:p>
      <w:pPr>
        <w:spacing w:after="0" w:line="224" w:lineRule="exact"/>
        <w:rPr>
          <w:rFonts w:ascii="Arial" w:cs="Arial" w:eastAsia="Arial" w:hAnsi="Arial"/>
          <w:sz w:val="20"/>
          <w:szCs w:val="20"/>
          <w:b w:val="1"/>
          <w:bCs w:val="1"/>
          <w:color w:val="auto"/>
        </w:rPr>
      </w:pPr>
    </w:p>
    <w:p>
      <w:pPr>
        <w:ind w:left="580"/>
        <w:spacing w:after="0"/>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Adimab Agreement</w:t>
      </w:r>
    </w:p>
    <w:p>
      <w:pPr>
        <w:spacing w:after="0" w:line="236" w:lineRule="exact"/>
        <w:rPr>
          <w:rFonts w:ascii="Arial" w:cs="Arial" w:eastAsia="Arial" w:hAnsi="Arial"/>
          <w:sz w:val="20"/>
          <w:szCs w:val="20"/>
          <w:b w:val="1"/>
          <w:bCs w:val="1"/>
          <w:color w:val="auto"/>
        </w:rPr>
      </w:pPr>
    </w:p>
    <w:p>
      <w:pPr>
        <w:ind w:left="580" w:right="6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The Company entered into a collaboration agreement with Adimab, LLC on October 16, 2014. The agreement includes provisions for payment of royalties at rates ranging in the single digits as a percentage of future net sales within a specified term from the first commercial sale for certain antibodies, including our product candidate, CTX-471. There were no milestone payments made during 2025. As of December 31, 2025, future potential milestone payments in connection with this agreement amounted to $2.0 million.</w:t>
      </w:r>
    </w:p>
    <w:p>
      <w:pPr>
        <w:spacing w:after="0" w:line="200" w:lineRule="exact"/>
        <w:rPr>
          <w:rFonts w:ascii="Arial" w:cs="Arial" w:eastAsia="Arial" w:hAnsi="Arial"/>
          <w:sz w:val="20"/>
          <w:szCs w:val="20"/>
          <w:b w:val="1"/>
          <w:bCs w:val="1"/>
          <w:color w:val="auto"/>
        </w:rPr>
      </w:pPr>
    </w:p>
    <w:p>
      <w:pPr>
        <w:spacing w:after="0" w:line="220" w:lineRule="exact"/>
        <w:rPr>
          <w:rFonts w:ascii="Arial" w:cs="Arial" w:eastAsia="Arial" w:hAnsi="Arial"/>
          <w:sz w:val="20"/>
          <w:szCs w:val="20"/>
          <w:b w:val="1"/>
          <w:bCs w:val="1"/>
          <w:color w:val="auto"/>
        </w:rPr>
      </w:pPr>
    </w:p>
    <w:p>
      <w:pPr>
        <w:ind w:left="580" w:right="5600" w:hanging="580"/>
        <w:spacing w:after="0" w:line="486" w:lineRule="auto"/>
        <w:tabs>
          <w:tab w:leader="none" w:pos="58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Leases</w:t>
      </w:r>
    </w:p>
    <w:p>
      <w:pPr>
        <w:spacing w:after="0" w:line="1" w:lineRule="exact"/>
        <w:rPr>
          <w:rFonts w:ascii="Arial" w:cs="Arial" w:eastAsia="Arial" w:hAnsi="Arial"/>
          <w:sz w:val="20"/>
          <w:szCs w:val="20"/>
          <w:b w:val="1"/>
          <w:bCs w:val="1"/>
          <w:color w:val="auto"/>
        </w:rPr>
      </w:pPr>
    </w:p>
    <w:p>
      <w:pPr>
        <w:ind w:left="580" w:right="300"/>
        <w:spacing w:after="0" w:line="254" w:lineRule="auto"/>
        <w:rPr>
          <w:rFonts w:ascii="Arial" w:cs="Arial" w:eastAsia="Arial" w:hAnsi="Arial"/>
          <w:sz w:val="20"/>
          <w:szCs w:val="20"/>
          <w:b w:val="1"/>
          <w:bCs w:val="1"/>
          <w:color w:val="auto"/>
        </w:rPr>
      </w:pPr>
      <w:r>
        <w:rPr>
          <w:rFonts w:ascii="Arial" w:cs="Arial" w:eastAsia="Arial" w:hAnsi="Arial"/>
          <w:sz w:val="20"/>
          <w:szCs w:val="20"/>
          <w:color w:val="auto"/>
        </w:rPr>
        <w:t>The Company accounts for operating leases on a straight-line basis over the lease term, with recognition of a right-of-use asset and a corresponding lease liability, initially measured at the present value of the lease payments. For leases with a term of 12 months or less, we recognize lease expense on a straight-line basis over the lease term.</w:t>
      </w:r>
    </w:p>
    <w:p>
      <w:pPr>
        <w:spacing w:after="0" w:line="176" w:lineRule="exact"/>
        <w:rPr>
          <w:rFonts w:ascii="Arial" w:cs="Arial" w:eastAsia="Arial" w:hAnsi="Arial"/>
          <w:sz w:val="20"/>
          <w:szCs w:val="20"/>
          <w:b w:val="1"/>
          <w:bCs w:val="1"/>
          <w:color w:val="auto"/>
        </w:rPr>
      </w:pPr>
    </w:p>
    <w:p>
      <w:pPr>
        <w:ind w:left="580" w:right="200"/>
        <w:spacing w:after="0" w:line="261" w:lineRule="auto"/>
        <w:rPr>
          <w:rFonts w:ascii="Arial" w:cs="Arial" w:eastAsia="Arial" w:hAnsi="Arial"/>
          <w:sz w:val="20"/>
          <w:szCs w:val="20"/>
          <w:b w:val="1"/>
          <w:bCs w:val="1"/>
          <w:color w:val="auto"/>
        </w:rPr>
      </w:pPr>
      <w:r>
        <w:rPr>
          <w:rFonts w:ascii="Arial" w:cs="Arial" w:eastAsia="Arial" w:hAnsi="Arial"/>
          <w:sz w:val="20"/>
          <w:szCs w:val="20"/>
          <w:color w:val="auto"/>
        </w:rPr>
        <w:t xml:space="preserve">The Company has evaluated its leases under ASC 842, </w:t>
      </w:r>
      <w:r>
        <w:rPr>
          <w:rFonts w:ascii="Arial" w:cs="Arial" w:eastAsia="Arial" w:hAnsi="Arial"/>
          <w:sz w:val="20"/>
          <w:szCs w:val="20"/>
          <w:i w:val="1"/>
          <w:iCs w:val="1"/>
          <w:color w:val="auto"/>
        </w:rPr>
        <w:t>Leases</w:t>
      </w:r>
      <w:r>
        <w:rPr>
          <w:rFonts w:ascii="Arial" w:cs="Arial" w:eastAsia="Arial" w:hAnsi="Arial"/>
          <w:sz w:val="20"/>
          <w:szCs w:val="20"/>
          <w:color w:val="auto"/>
        </w:rPr>
        <w:t>, and determined that it has one lease that is classified as an operating lease. The classification of this lease is consistent with the Company’s determination under the previous accounting standard.</w:t>
      </w:r>
    </w:p>
    <w:p>
      <w:pPr>
        <w:spacing w:after="0" w:line="169" w:lineRule="exact"/>
        <w:rPr>
          <w:rFonts w:ascii="Arial" w:cs="Arial" w:eastAsia="Arial" w:hAnsi="Arial"/>
          <w:sz w:val="20"/>
          <w:szCs w:val="20"/>
          <w:b w:val="1"/>
          <w:bCs w:val="1"/>
          <w:color w:val="auto"/>
        </w:rPr>
      </w:pPr>
    </w:p>
    <w:p>
      <w:pPr>
        <w:ind w:left="580" w:right="160"/>
        <w:spacing w:after="0" w:line="254" w:lineRule="auto"/>
        <w:rPr>
          <w:rFonts w:ascii="Arial" w:cs="Arial" w:eastAsia="Arial" w:hAnsi="Arial"/>
          <w:sz w:val="20"/>
          <w:szCs w:val="20"/>
          <w:b w:val="1"/>
          <w:bCs w:val="1"/>
          <w:color w:val="auto"/>
        </w:rPr>
      </w:pPr>
      <w:r>
        <w:rPr>
          <w:rFonts w:ascii="Arial" w:cs="Arial" w:eastAsia="Arial" w:hAnsi="Arial"/>
          <w:sz w:val="20"/>
          <w:szCs w:val="20"/>
          <w:color w:val="auto"/>
        </w:rPr>
        <w:t>When available, the Company will use the rate implicit in the lease to discount lease payments to present value; however, the Company’s current lease does not provide an implicit rate. Therefore, the Company used its incremental borrowing rate of 6.25% to discount the lease payments based on the date of the lease commencement.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2240" w:h="15840" w:orient="portrait"/>
          <w:cols w:equalWidth="0" w:num="1">
            <w:col w:w="9360"/>
          </w:cols>
          <w:pgMar w:left="1440" w:top="1440" w:right="1440" w:bottom="393" w:gutter="0" w:footer="0" w:header="0"/>
        </w:sectPr>
      </w:pPr>
    </w:p>
    <w:bookmarkStart w:id="123" w:name="page124"/>
    <w:bookmarkEnd w:id="123"/>
    <w:p>
      <w:pPr>
        <w:jc w:val="both"/>
        <w:ind w:left="580" w:right="80"/>
        <w:spacing w:after="0" w:line="260" w:lineRule="auto"/>
        <w:rPr>
          <w:sz w:val="20"/>
          <w:szCs w:val="20"/>
          <w:color w:val="auto"/>
        </w:rPr>
      </w:pPr>
      <w:r>
        <w:rPr>
          <w:rFonts w:ascii="Arial" w:cs="Arial" w:eastAsia="Arial" w:hAnsi="Arial"/>
          <w:sz w:val="20"/>
          <w:szCs w:val="20"/>
          <w:color w:val="auto"/>
        </w:rPr>
        <w:t>The Company has one operating lease for its corporate office and laboratory facility (“Facility”) that was signed in December 2020. The Company moved into the Facility in January 2021. The Facility lease has an initial term of four years and five months, beginning on January 1, 2021.</w:t>
      </w:r>
    </w:p>
    <w:p>
      <w:pPr>
        <w:spacing w:after="0" w:line="172" w:lineRule="exact"/>
        <w:rPr>
          <w:sz w:val="20"/>
          <w:szCs w:val="20"/>
          <w:color w:val="auto"/>
        </w:rPr>
      </w:pPr>
    </w:p>
    <w:p>
      <w:pPr>
        <w:ind w:left="580" w:right="20" w:firstLine="1"/>
        <w:spacing w:after="0" w:line="245" w:lineRule="auto"/>
        <w:rPr>
          <w:sz w:val="20"/>
          <w:szCs w:val="20"/>
          <w:color w:val="auto"/>
        </w:rPr>
      </w:pPr>
      <w:r>
        <w:rPr>
          <w:rFonts w:ascii="Arial" w:cs="Arial" w:eastAsia="Arial" w:hAnsi="Arial"/>
          <w:sz w:val="20"/>
          <w:szCs w:val="20"/>
          <w:color w:val="auto"/>
        </w:rPr>
        <w:t>The terms of the Facility lease were modified effective September 27, 2024 through the execution of a new lease. The modified terms extended the non-cancelable lease term through May 2031. The modified terms also included the right to use an additional 10,724 square feet that commenced in May 2025. The classification and incremental borrowing rate for the lease did not change as a result of this lease modification. Right- of-use assets obtained in exchange for new operating lease liabilities due to the lease modification were $9.9 million for a total right-of-use assets as of December 31, 2025 of $9.1 million. The remaining lease term of the Facility lease is 5.4 years as of December 31, 2025. The Company has $568 thousand of restricted cash associated with an irrevocable letter of credit required by the landlord to enter into this lease.</w:t>
      </w:r>
    </w:p>
    <w:p>
      <w:pPr>
        <w:spacing w:after="0" w:line="187" w:lineRule="exact"/>
        <w:rPr>
          <w:sz w:val="20"/>
          <w:szCs w:val="20"/>
          <w:color w:val="auto"/>
        </w:rPr>
      </w:pPr>
    </w:p>
    <w:p>
      <w:pPr>
        <w:ind w:left="580"/>
        <w:spacing w:after="0" w:line="261" w:lineRule="auto"/>
        <w:rPr>
          <w:sz w:val="20"/>
          <w:szCs w:val="20"/>
          <w:color w:val="auto"/>
        </w:rPr>
      </w:pPr>
      <w:r>
        <w:rPr>
          <w:rFonts w:ascii="Arial" w:cs="Arial" w:eastAsia="Arial" w:hAnsi="Arial"/>
          <w:sz w:val="20"/>
          <w:szCs w:val="20"/>
          <w:color w:val="auto"/>
        </w:rPr>
        <w:t>Lease costs related to the Facility were $1.3 million and $ 1.1 million for the years ending December 31, 2025 and 2024, respectively. Cash paid for this lease was $0.8 million and $1.4 million for the years ended December 31, 2025 and 2024, respectively.</w:t>
      </w:r>
    </w:p>
    <w:p>
      <w:pPr>
        <w:spacing w:after="0" w:line="172" w:lineRule="exact"/>
        <w:rPr>
          <w:sz w:val="20"/>
          <w:szCs w:val="20"/>
          <w:color w:val="auto"/>
        </w:rPr>
      </w:pPr>
    </w:p>
    <w:p>
      <w:pPr>
        <w:jc w:val="both"/>
        <w:ind w:left="580" w:right="140"/>
        <w:spacing w:after="0" w:line="275" w:lineRule="auto"/>
        <w:rPr>
          <w:sz w:val="20"/>
          <w:szCs w:val="20"/>
          <w:color w:val="auto"/>
        </w:rPr>
      </w:pPr>
      <w:r>
        <w:rPr>
          <w:rFonts w:ascii="Arial" w:cs="Arial" w:eastAsia="Arial" w:hAnsi="Arial"/>
          <w:sz w:val="19"/>
          <w:szCs w:val="19"/>
          <w:color w:val="auto"/>
        </w:rPr>
        <w:t>The table below presents the undiscounted cash flows for the lease term. The undiscounted cash flows are reconciled to the operating lease liabilities recorded on the consolidated balance sheets:</w:t>
      </w:r>
    </w:p>
    <w:tbl>
      <w:tblPr>
        <w:tblLayout w:type="fixed"/>
        <w:tblInd w:w="780" w:type="dxa"/>
        <w:tblCellMar>
          <w:top w:w="0" w:type="dxa"/>
          <w:left w:w="0" w:type="dxa"/>
          <w:bottom w:w="0" w:type="dxa"/>
          <w:right w:w="0" w:type="dxa"/>
        </w:tblCellMar>
      </w:tblPr>
      <w:tr>
        <w:trPr>
          <w:trHeight w:val="246"/>
        </w:trPr>
        <w:tc>
          <w:tcPr>
            <w:tcW w:w="5220" w:type="dxa"/>
            <w:vAlign w:val="bottom"/>
            <w:tcBorders>
              <w:bottom w:val="single" w:sz="8" w:color="D2EDF5"/>
            </w:tcBorders>
          </w:tcPr>
          <w:p>
            <w:pPr>
              <w:spacing w:after="0"/>
              <w:rPr>
                <w:sz w:val="21"/>
                <w:szCs w:val="21"/>
                <w:color w:val="auto"/>
              </w:rPr>
            </w:pPr>
          </w:p>
        </w:tc>
        <w:tc>
          <w:tcPr>
            <w:tcW w:w="20" w:type="dxa"/>
            <w:vAlign w:val="bottom"/>
            <w:tcBorders>
              <w:bottom w:val="single" w:sz="8" w:color="D2EDF5"/>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0"/>
              <w:spacing w:after="0"/>
              <w:rPr>
                <w:sz w:val="20"/>
                <w:szCs w:val="20"/>
                <w:color w:val="auto"/>
              </w:rPr>
            </w:pPr>
            <w:r>
              <w:rPr>
                <w:rFonts w:ascii="Arial" w:cs="Arial" w:eastAsia="Arial" w:hAnsi="Arial"/>
                <w:sz w:val="20"/>
                <w:szCs w:val="20"/>
                <w:color w:val="auto"/>
              </w:rPr>
              <w:t>(000's)</w:t>
            </w:r>
          </w:p>
        </w:tc>
      </w:tr>
      <w:tr>
        <w:trPr>
          <w:trHeight w:val="279"/>
        </w:trPr>
        <w:tc>
          <w:tcPr>
            <w:tcW w:w="5240" w:type="dxa"/>
            <w:vAlign w:val="bottom"/>
            <w:gridSpan w:val="2"/>
            <w:shd w:val="clear" w:color="auto" w:fill="D2EDF5"/>
          </w:tcPr>
          <w:p>
            <w:pPr>
              <w:ind w:left="40"/>
              <w:spacing w:after="0"/>
              <w:rPr>
                <w:sz w:val="20"/>
                <w:szCs w:val="20"/>
                <w:color w:val="auto"/>
              </w:rPr>
            </w:pPr>
            <w:r>
              <w:rPr>
                <w:rFonts w:ascii="Arial" w:cs="Arial" w:eastAsia="Arial" w:hAnsi="Arial"/>
                <w:sz w:val="20"/>
                <w:szCs w:val="20"/>
                <w:color w:val="auto"/>
              </w:rPr>
              <w:t>Years ending December 31,</w:t>
            </w:r>
          </w:p>
        </w:tc>
        <w:tc>
          <w:tcPr>
            <w:tcW w:w="400" w:type="dxa"/>
            <w:vAlign w:val="bottom"/>
            <w:shd w:val="clear" w:color="auto" w:fill="D2EDF5"/>
          </w:tcPr>
          <w:p>
            <w:pPr>
              <w:spacing w:after="0"/>
              <w:rPr>
                <w:sz w:val="24"/>
                <w:szCs w:val="24"/>
                <w:color w:val="auto"/>
              </w:rPr>
            </w:pPr>
          </w:p>
        </w:tc>
        <w:tc>
          <w:tcPr>
            <w:tcW w:w="1320" w:type="dxa"/>
            <w:vAlign w:val="bottom"/>
            <w:tcBorders>
              <w:right w:val="single" w:sz="8" w:color="D2EDF5"/>
            </w:tcBorders>
            <w:shd w:val="clear" w:color="auto" w:fill="D2EDF5"/>
          </w:tcPr>
          <w:p>
            <w:pPr>
              <w:spacing w:after="0"/>
              <w:rPr>
                <w:sz w:val="24"/>
                <w:szCs w:val="24"/>
                <w:color w:val="auto"/>
              </w:rPr>
            </w:pPr>
          </w:p>
        </w:tc>
      </w:tr>
      <w:tr>
        <w:trPr>
          <w:trHeight w:val="269"/>
        </w:trPr>
        <w:tc>
          <w:tcPr>
            <w:tcW w:w="5220" w:type="dxa"/>
            <w:vAlign w:val="bottom"/>
          </w:tcPr>
          <w:p>
            <w:pPr>
              <w:ind w:left="40"/>
              <w:spacing w:after="0"/>
              <w:rPr>
                <w:sz w:val="20"/>
                <w:szCs w:val="20"/>
                <w:color w:val="auto"/>
              </w:rPr>
            </w:pPr>
            <w:r>
              <w:rPr>
                <w:rFonts w:ascii="Arial" w:cs="Arial" w:eastAsia="Arial" w:hAnsi="Arial"/>
                <w:sz w:val="20"/>
                <w:szCs w:val="20"/>
                <w:color w:val="auto"/>
              </w:rPr>
              <w:t>2026</w:t>
            </w:r>
          </w:p>
        </w:tc>
        <w:tc>
          <w:tcPr>
            <w:tcW w:w="20" w:type="dxa"/>
            <w:vAlign w:val="bottom"/>
          </w:tcPr>
          <w:p>
            <w:pPr>
              <w:spacing w:after="0"/>
              <w:rPr>
                <w:sz w:val="23"/>
                <w:szCs w:val="23"/>
                <w:color w:val="auto"/>
              </w:rPr>
            </w:pP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1,525</w:t>
            </w:r>
          </w:p>
        </w:tc>
      </w:tr>
      <w:tr>
        <w:trPr>
          <w:trHeight w:val="289"/>
        </w:trPr>
        <w:tc>
          <w:tcPr>
            <w:tcW w:w="5220" w:type="dxa"/>
            <w:vAlign w:val="bottom"/>
            <w:shd w:val="clear" w:color="auto" w:fill="D4EFF3"/>
          </w:tcPr>
          <w:p>
            <w:pPr>
              <w:ind w:left="40"/>
              <w:spacing w:after="0"/>
              <w:rPr>
                <w:sz w:val="20"/>
                <w:szCs w:val="20"/>
                <w:color w:val="auto"/>
              </w:rPr>
            </w:pPr>
            <w:r>
              <w:rPr>
                <w:rFonts w:ascii="Arial" w:cs="Arial" w:eastAsia="Arial" w:hAnsi="Arial"/>
                <w:sz w:val="20"/>
                <w:szCs w:val="20"/>
                <w:color w:val="auto"/>
              </w:rPr>
              <w:t>2027</w:t>
            </w:r>
          </w:p>
        </w:tc>
        <w:tc>
          <w:tcPr>
            <w:tcW w:w="20" w:type="dxa"/>
            <w:vAlign w:val="bottom"/>
            <w:shd w:val="clear" w:color="auto" w:fill="D4EFF3"/>
          </w:tcPr>
          <w:p>
            <w:pPr>
              <w:spacing w:after="0"/>
              <w:rPr>
                <w:sz w:val="24"/>
                <w:szCs w:val="24"/>
                <w:color w:val="auto"/>
              </w:rPr>
            </w:pPr>
          </w:p>
        </w:tc>
        <w:tc>
          <w:tcPr>
            <w:tcW w:w="400" w:type="dxa"/>
            <w:vAlign w:val="bottom"/>
            <w:shd w:val="clear" w:color="auto" w:fill="D4EFF3"/>
          </w:tcPr>
          <w:p>
            <w:pPr>
              <w:spacing w:after="0"/>
              <w:rPr>
                <w:sz w:val="24"/>
                <w:szCs w:val="24"/>
                <w:color w:val="auto"/>
              </w:rPr>
            </w:pPr>
          </w:p>
        </w:tc>
        <w:tc>
          <w:tcPr>
            <w:tcW w:w="1320" w:type="dxa"/>
            <w:vAlign w:val="bottom"/>
            <w:tcBorders>
              <w:right w:val="single" w:sz="8" w:color="D4EFF3"/>
            </w:tcBorders>
            <w:shd w:val="clear" w:color="auto" w:fill="D4EFF3"/>
          </w:tcPr>
          <w:p>
            <w:pPr>
              <w:jc w:val="right"/>
              <w:spacing w:after="0"/>
              <w:rPr>
                <w:sz w:val="20"/>
                <w:szCs w:val="20"/>
                <w:color w:val="auto"/>
              </w:rPr>
            </w:pPr>
            <w:r>
              <w:rPr>
                <w:rFonts w:ascii="Arial" w:cs="Arial" w:eastAsia="Arial" w:hAnsi="Arial"/>
                <w:sz w:val="20"/>
                <w:szCs w:val="20"/>
                <w:color w:val="auto"/>
              </w:rPr>
              <w:t>2,204</w:t>
            </w:r>
          </w:p>
        </w:tc>
      </w:tr>
      <w:tr>
        <w:trPr>
          <w:trHeight w:val="269"/>
        </w:trPr>
        <w:tc>
          <w:tcPr>
            <w:tcW w:w="5220" w:type="dxa"/>
            <w:vAlign w:val="bottom"/>
          </w:tcPr>
          <w:p>
            <w:pPr>
              <w:ind w:left="40"/>
              <w:spacing w:after="0"/>
              <w:rPr>
                <w:sz w:val="20"/>
                <w:szCs w:val="20"/>
                <w:color w:val="auto"/>
              </w:rPr>
            </w:pPr>
            <w:r>
              <w:rPr>
                <w:rFonts w:ascii="Arial" w:cs="Arial" w:eastAsia="Arial" w:hAnsi="Arial"/>
                <w:sz w:val="20"/>
                <w:szCs w:val="20"/>
                <w:color w:val="auto"/>
              </w:rPr>
              <w:t>2028</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2,249</w:t>
            </w:r>
          </w:p>
        </w:tc>
      </w:tr>
      <w:tr>
        <w:trPr>
          <w:trHeight w:val="289"/>
        </w:trPr>
        <w:tc>
          <w:tcPr>
            <w:tcW w:w="5220" w:type="dxa"/>
            <w:vAlign w:val="bottom"/>
            <w:shd w:val="clear" w:color="auto" w:fill="D4EFF3"/>
          </w:tcPr>
          <w:p>
            <w:pPr>
              <w:ind w:left="40"/>
              <w:spacing w:after="0"/>
              <w:rPr>
                <w:sz w:val="20"/>
                <w:szCs w:val="20"/>
                <w:color w:val="auto"/>
              </w:rPr>
            </w:pPr>
            <w:r>
              <w:rPr>
                <w:rFonts w:ascii="Arial" w:cs="Arial" w:eastAsia="Arial" w:hAnsi="Arial"/>
                <w:sz w:val="20"/>
                <w:szCs w:val="20"/>
                <w:color w:val="auto"/>
              </w:rPr>
              <w:t>2029</w:t>
            </w:r>
          </w:p>
        </w:tc>
        <w:tc>
          <w:tcPr>
            <w:tcW w:w="20" w:type="dxa"/>
            <w:vAlign w:val="bottom"/>
            <w:shd w:val="clear" w:color="auto" w:fill="D4EFF3"/>
          </w:tcPr>
          <w:p>
            <w:pPr>
              <w:spacing w:after="0"/>
              <w:rPr>
                <w:sz w:val="24"/>
                <w:szCs w:val="24"/>
                <w:color w:val="auto"/>
              </w:rPr>
            </w:pPr>
          </w:p>
        </w:tc>
        <w:tc>
          <w:tcPr>
            <w:tcW w:w="400" w:type="dxa"/>
            <w:vAlign w:val="bottom"/>
            <w:shd w:val="clear" w:color="auto" w:fill="D4EFF3"/>
          </w:tcPr>
          <w:p>
            <w:pPr>
              <w:spacing w:after="0"/>
              <w:rPr>
                <w:sz w:val="24"/>
                <w:szCs w:val="24"/>
                <w:color w:val="auto"/>
              </w:rPr>
            </w:pPr>
          </w:p>
        </w:tc>
        <w:tc>
          <w:tcPr>
            <w:tcW w:w="1320" w:type="dxa"/>
            <w:vAlign w:val="bottom"/>
            <w:tcBorders>
              <w:right w:val="single" w:sz="8" w:color="D4EFF3"/>
            </w:tcBorders>
            <w:shd w:val="clear" w:color="auto" w:fill="D4EFF3"/>
          </w:tcPr>
          <w:p>
            <w:pPr>
              <w:jc w:val="right"/>
              <w:spacing w:after="0"/>
              <w:rPr>
                <w:sz w:val="20"/>
                <w:szCs w:val="20"/>
                <w:color w:val="auto"/>
              </w:rPr>
            </w:pPr>
            <w:r>
              <w:rPr>
                <w:rFonts w:ascii="Arial" w:cs="Arial" w:eastAsia="Arial" w:hAnsi="Arial"/>
                <w:sz w:val="20"/>
                <w:szCs w:val="20"/>
                <w:color w:val="auto"/>
              </w:rPr>
              <w:t>2,294</w:t>
            </w:r>
          </w:p>
        </w:tc>
      </w:tr>
      <w:tr>
        <w:trPr>
          <w:trHeight w:val="269"/>
        </w:trPr>
        <w:tc>
          <w:tcPr>
            <w:tcW w:w="5220" w:type="dxa"/>
            <w:vAlign w:val="bottom"/>
          </w:tcPr>
          <w:p>
            <w:pPr>
              <w:ind w:left="40"/>
              <w:spacing w:after="0"/>
              <w:rPr>
                <w:sz w:val="20"/>
                <w:szCs w:val="20"/>
                <w:color w:val="auto"/>
              </w:rPr>
            </w:pPr>
            <w:r>
              <w:rPr>
                <w:rFonts w:ascii="Arial" w:cs="Arial" w:eastAsia="Arial" w:hAnsi="Arial"/>
                <w:sz w:val="20"/>
                <w:szCs w:val="20"/>
                <w:color w:val="auto"/>
              </w:rPr>
              <w:t>2030</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2,356</w:t>
            </w:r>
          </w:p>
        </w:tc>
      </w:tr>
      <w:tr>
        <w:trPr>
          <w:trHeight w:val="269"/>
        </w:trPr>
        <w:tc>
          <w:tcPr>
            <w:tcW w:w="522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Thereafter</w:t>
            </w:r>
          </w:p>
        </w:tc>
        <w:tc>
          <w:tcPr>
            <w:tcW w:w="20" w:type="dxa"/>
            <w:vAlign w:val="bottom"/>
            <w:tcBorders>
              <w:bottom w:val="single" w:sz="8" w:color="auto"/>
            </w:tcBorders>
            <w:shd w:val="clear" w:color="auto" w:fill="D4EFF3"/>
          </w:tcPr>
          <w:p>
            <w:pPr>
              <w:spacing w:after="0"/>
              <w:rPr>
                <w:sz w:val="23"/>
                <w:szCs w:val="23"/>
                <w:color w:val="auto"/>
              </w:rPr>
            </w:pPr>
          </w:p>
        </w:tc>
        <w:tc>
          <w:tcPr>
            <w:tcW w:w="400" w:type="dxa"/>
            <w:vAlign w:val="bottom"/>
            <w:tcBorders>
              <w:bottom w:val="single" w:sz="8" w:color="auto"/>
            </w:tcBorders>
            <w:shd w:val="clear" w:color="auto" w:fill="D4EFF3"/>
          </w:tcPr>
          <w:p>
            <w:pPr>
              <w:spacing w:after="0"/>
              <w:rPr>
                <w:sz w:val="23"/>
                <w:szCs w:val="23"/>
                <w:color w:val="auto"/>
              </w:rPr>
            </w:pPr>
          </w:p>
        </w:tc>
        <w:tc>
          <w:tcPr>
            <w:tcW w:w="1320" w:type="dxa"/>
            <w:vAlign w:val="bottom"/>
            <w:tcBorders>
              <w:bottom w:val="single" w:sz="8" w:color="auto"/>
              <w:right w:val="single" w:sz="8" w:color="D4EFF3"/>
            </w:tcBorders>
            <w:shd w:val="clear" w:color="auto" w:fill="D4EFF3"/>
          </w:tcPr>
          <w:p>
            <w:pPr>
              <w:jc w:val="right"/>
              <w:spacing w:after="0"/>
              <w:rPr>
                <w:sz w:val="20"/>
                <w:szCs w:val="20"/>
                <w:color w:val="auto"/>
              </w:rPr>
            </w:pPr>
            <w:r>
              <w:rPr>
                <w:rFonts w:ascii="Arial" w:cs="Arial" w:eastAsia="Arial" w:hAnsi="Arial"/>
                <w:sz w:val="20"/>
                <w:szCs w:val="20"/>
                <w:color w:val="auto"/>
              </w:rPr>
              <w:t>995</w:t>
            </w:r>
          </w:p>
        </w:tc>
      </w:tr>
      <w:tr>
        <w:trPr>
          <w:trHeight w:val="269"/>
        </w:trPr>
        <w:tc>
          <w:tcPr>
            <w:tcW w:w="5240" w:type="dxa"/>
            <w:vAlign w:val="bottom"/>
            <w:gridSpan w:val="2"/>
          </w:tcPr>
          <w:p>
            <w:pPr>
              <w:ind w:left="40"/>
              <w:spacing w:after="0"/>
              <w:rPr>
                <w:sz w:val="20"/>
                <w:szCs w:val="20"/>
                <w:color w:val="auto"/>
              </w:rPr>
            </w:pPr>
            <w:r>
              <w:rPr>
                <w:rFonts w:ascii="Arial" w:cs="Arial" w:eastAsia="Arial" w:hAnsi="Arial"/>
                <w:sz w:val="20"/>
                <w:szCs w:val="20"/>
                <w:color w:val="auto"/>
              </w:rPr>
              <w:t>Total minimum lease payments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11,623</w:t>
            </w:r>
          </w:p>
        </w:tc>
      </w:tr>
      <w:tr>
        <w:trPr>
          <w:trHeight w:val="269"/>
        </w:trPr>
        <w:tc>
          <w:tcPr>
            <w:tcW w:w="522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Less: amount of lease payments representing interest</w:t>
            </w:r>
          </w:p>
        </w:tc>
        <w:tc>
          <w:tcPr>
            <w:tcW w:w="20" w:type="dxa"/>
            <w:vAlign w:val="bottom"/>
            <w:tcBorders>
              <w:bottom w:val="single" w:sz="8" w:color="auto"/>
            </w:tcBorders>
            <w:shd w:val="clear" w:color="auto" w:fill="D4EFF3"/>
          </w:tcPr>
          <w:p>
            <w:pPr>
              <w:spacing w:after="0"/>
              <w:rPr>
                <w:sz w:val="23"/>
                <w:szCs w:val="23"/>
                <w:color w:val="auto"/>
              </w:rPr>
            </w:pPr>
          </w:p>
        </w:tc>
        <w:tc>
          <w:tcPr>
            <w:tcW w:w="400" w:type="dxa"/>
            <w:vAlign w:val="bottom"/>
            <w:tcBorders>
              <w:bottom w:val="single" w:sz="8" w:color="auto"/>
            </w:tcBorders>
            <w:shd w:val="clear" w:color="auto" w:fill="D4EFF3"/>
          </w:tcPr>
          <w:p>
            <w:pPr>
              <w:spacing w:after="0"/>
              <w:rPr>
                <w:sz w:val="23"/>
                <w:szCs w:val="23"/>
                <w:color w:val="auto"/>
              </w:rPr>
            </w:pPr>
          </w:p>
        </w:tc>
        <w:tc>
          <w:tcPr>
            <w:tcW w:w="1320" w:type="dxa"/>
            <w:vAlign w:val="bottom"/>
            <w:tcBorders>
              <w:bottom w:val="single" w:sz="8" w:color="auto"/>
              <w:right w:val="single" w:sz="8" w:color="EEF70C"/>
            </w:tcBorders>
            <w:shd w:val="clear" w:color="auto" w:fill="D4EFF3"/>
          </w:tcPr>
          <w:p>
            <w:pPr>
              <w:jc w:val="right"/>
              <w:spacing w:after="0"/>
              <w:rPr>
                <w:sz w:val="20"/>
                <w:szCs w:val="20"/>
                <w:color w:val="auto"/>
              </w:rPr>
            </w:pPr>
            <w:r>
              <w:rPr>
                <w:rFonts w:ascii="Arial" w:cs="Arial" w:eastAsia="Arial" w:hAnsi="Arial"/>
                <w:sz w:val="20"/>
                <w:szCs w:val="20"/>
                <w:color w:val="auto"/>
              </w:rPr>
              <w:t>(1,794)</w:t>
            </w:r>
          </w:p>
        </w:tc>
      </w:tr>
      <w:tr>
        <w:trPr>
          <w:trHeight w:val="269"/>
        </w:trPr>
        <w:tc>
          <w:tcPr>
            <w:tcW w:w="5240" w:type="dxa"/>
            <w:vAlign w:val="bottom"/>
            <w:gridSpan w:val="2"/>
          </w:tcPr>
          <w:p>
            <w:pPr>
              <w:ind w:left="40"/>
              <w:spacing w:after="0"/>
              <w:rPr>
                <w:sz w:val="20"/>
                <w:szCs w:val="20"/>
                <w:color w:val="auto"/>
              </w:rPr>
            </w:pPr>
            <w:r>
              <w:rPr>
                <w:rFonts w:ascii="Arial" w:cs="Arial" w:eastAsia="Arial" w:hAnsi="Arial"/>
                <w:sz w:val="20"/>
                <w:szCs w:val="20"/>
                <w:color w:val="auto"/>
              </w:rPr>
              <w:t>Present value of future minimum lease payments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9,829</w:t>
            </w:r>
          </w:p>
        </w:tc>
      </w:tr>
      <w:tr>
        <w:trPr>
          <w:trHeight w:val="269"/>
        </w:trPr>
        <w:tc>
          <w:tcPr>
            <w:tcW w:w="522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Less: operating lease obligations, current portion</w:t>
            </w:r>
          </w:p>
        </w:tc>
        <w:tc>
          <w:tcPr>
            <w:tcW w:w="20" w:type="dxa"/>
            <w:vAlign w:val="bottom"/>
            <w:tcBorders>
              <w:bottom w:val="single" w:sz="8" w:color="auto"/>
            </w:tcBorders>
            <w:shd w:val="clear" w:color="auto" w:fill="D4EFF3"/>
          </w:tcPr>
          <w:p>
            <w:pPr>
              <w:spacing w:after="0"/>
              <w:rPr>
                <w:sz w:val="23"/>
                <w:szCs w:val="23"/>
                <w:color w:val="auto"/>
              </w:rPr>
            </w:pPr>
          </w:p>
        </w:tc>
        <w:tc>
          <w:tcPr>
            <w:tcW w:w="400" w:type="dxa"/>
            <w:vAlign w:val="bottom"/>
            <w:tcBorders>
              <w:bottom w:val="single" w:sz="8" w:color="auto"/>
            </w:tcBorders>
            <w:shd w:val="clear" w:color="auto" w:fill="D4EFF3"/>
          </w:tcPr>
          <w:p>
            <w:pPr>
              <w:spacing w:after="0"/>
              <w:rPr>
                <w:sz w:val="23"/>
                <w:szCs w:val="23"/>
                <w:color w:val="auto"/>
              </w:rPr>
            </w:pPr>
          </w:p>
        </w:tc>
        <w:tc>
          <w:tcPr>
            <w:tcW w:w="1320" w:type="dxa"/>
            <w:vAlign w:val="bottom"/>
            <w:tcBorders>
              <w:bottom w:val="single" w:sz="8" w:color="auto"/>
              <w:right w:val="single" w:sz="8" w:color="D4EFF3"/>
            </w:tcBorders>
            <w:shd w:val="clear" w:color="auto" w:fill="D4EFF3"/>
          </w:tcPr>
          <w:p>
            <w:pPr>
              <w:jc w:val="right"/>
              <w:spacing w:after="0"/>
              <w:rPr>
                <w:sz w:val="20"/>
                <w:szCs w:val="20"/>
                <w:color w:val="auto"/>
              </w:rPr>
            </w:pPr>
            <w:r>
              <w:rPr>
                <w:rFonts w:ascii="Arial" w:cs="Arial" w:eastAsia="Arial" w:hAnsi="Arial"/>
                <w:sz w:val="20"/>
                <w:szCs w:val="20"/>
                <w:color w:val="auto"/>
              </w:rPr>
              <w:t>(1,000)</w:t>
            </w:r>
          </w:p>
        </w:tc>
      </w:tr>
      <w:tr>
        <w:trPr>
          <w:trHeight w:val="279"/>
        </w:trPr>
        <w:tc>
          <w:tcPr>
            <w:tcW w:w="5220" w:type="dxa"/>
            <w:vAlign w:val="bottom"/>
          </w:tcPr>
          <w:p>
            <w:pPr>
              <w:ind w:left="40"/>
              <w:spacing w:after="0"/>
              <w:rPr>
                <w:sz w:val="20"/>
                <w:szCs w:val="20"/>
                <w:color w:val="auto"/>
              </w:rPr>
            </w:pPr>
            <w:r>
              <w:rPr>
                <w:rFonts w:ascii="Arial" w:cs="Arial" w:eastAsia="Arial" w:hAnsi="Arial"/>
                <w:sz w:val="20"/>
                <w:szCs w:val="20"/>
                <w:color w:val="auto"/>
              </w:rPr>
              <w:t>Operating lease obligations, long-term portion</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8,829</w:t>
            </w:r>
          </w:p>
        </w:tc>
      </w:tr>
    </w:tbl>
    <w:p>
      <w:pPr>
        <w:spacing w:after="0" w:line="267"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Defined Contribution Plan</w:t>
      </w:r>
    </w:p>
    <w:p>
      <w:pPr>
        <w:spacing w:after="0" w:line="279" w:lineRule="exact"/>
        <w:rPr>
          <w:sz w:val="20"/>
          <w:szCs w:val="20"/>
          <w:color w:val="auto"/>
        </w:rPr>
      </w:pPr>
    </w:p>
    <w:p>
      <w:pPr>
        <w:ind w:left="580" w:right="20"/>
        <w:spacing w:after="0" w:line="248" w:lineRule="auto"/>
        <w:rPr>
          <w:sz w:val="20"/>
          <w:szCs w:val="20"/>
          <w:color w:val="auto"/>
        </w:rPr>
      </w:pPr>
      <w:r>
        <w:rPr>
          <w:rFonts w:ascii="Arial" w:cs="Arial" w:eastAsia="Arial" w:hAnsi="Arial"/>
          <w:sz w:val="20"/>
          <w:szCs w:val="20"/>
          <w:color w:val="auto"/>
        </w:rPr>
        <w:t>The Company has a 401(k) defined contribution plan (the “401(k) Plan”) for substantially all its employees. Eligible employees may make pre-tax or post-tax (Roth) contributions to the 401(k) Plan up to statutory limits. Since January 1, 2020, the Company has been matching employee contributions to the plan up to 4% of salary. On July 1, 2023, the Company increased the employee matching contribution from 4% to 6%. The Company made matching contributions of $0.4 million and $0.3 million for the years ended December 31, 2025 and 2024, respectively.</w:t>
      </w:r>
    </w:p>
    <w:p>
      <w:pPr>
        <w:spacing w:after="0" w:line="200" w:lineRule="exact"/>
        <w:rPr>
          <w:sz w:val="20"/>
          <w:szCs w:val="20"/>
          <w:color w:val="auto"/>
        </w:rPr>
      </w:pPr>
    </w:p>
    <w:p>
      <w:pPr>
        <w:spacing w:after="0" w:line="220" w:lineRule="exact"/>
        <w:rPr>
          <w:sz w:val="20"/>
          <w:szCs w:val="20"/>
          <w:color w:val="auto"/>
        </w:rPr>
      </w:pPr>
    </w:p>
    <w:p>
      <w:pPr>
        <w:ind w:left="580" w:hanging="580"/>
        <w:spacing w:after="0"/>
        <w:tabs>
          <w:tab w:leader="none" w:pos="58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Other income</w:t>
      </w:r>
    </w:p>
    <w:p>
      <w:pPr>
        <w:spacing w:after="0" w:line="244" w:lineRule="exact"/>
        <w:rPr>
          <w:rFonts w:ascii="Arial" w:cs="Arial" w:eastAsia="Arial" w:hAnsi="Arial"/>
          <w:sz w:val="20"/>
          <w:szCs w:val="20"/>
          <w:b w:val="1"/>
          <w:bCs w:val="1"/>
          <w:color w:val="auto"/>
        </w:rPr>
      </w:pPr>
    </w:p>
    <w:p>
      <w:pPr>
        <w:ind w:left="580" w:right="580"/>
        <w:spacing w:after="0" w:line="280" w:lineRule="auto"/>
        <w:rPr>
          <w:rFonts w:ascii="Arial" w:cs="Arial" w:eastAsia="Arial" w:hAnsi="Arial"/>
          <w:sz w:val="20"/>
          <w:szCs w:val="20"/>
          <w:b w:val="1"/>
          <w:bCs w:val="1"/>
          <w:color w:val="auto"/>
        </w:rPr>
      </w:pPr>
      <w:r>
        <w:rPr>
          <w:rFonts w:ascii="Arial" w:cs="Arial" w:eastAsia="Arial" w:hAnsi="Arial"/>
          <w:sz w:val="20"/>
          <w:szCs w:val="20"/>
          <w:color w:val="auto"/>
        </w:rPr>
        <w:t>Other income consisted of interest income from investments on marketable securities of $6.4 million and $7.3 million for the years ended December 31, 2025 and 2024, respectively.</w:t>
      </w:r>
    </w:p>
    <w:p>
      <w:pPr>
        <w:spacing w:after="0" w:line="203" w:lineRule="exact"/>
        <w:rPr>
          <w:rFonts w:ascii="Arial" w:cs="Arial" w:eastAsia="Arial" w:hAnsi="Arial"/>
          <w:sz w:val="20"/>
          <w:szCs w:val="20"/>
          <w:b w:val="1"/>
          <w:bCs w:val="1"/>
          <w:color w:val="auto"/>
        </w:rPr>
      </w:pPr>
    </w:p>
    <w:p>
      <w:pPr>
        <w:ind w:left="580" w:hanging="580"/>
        <w:spacing w:after="0"/>
        <w:tabs>
          <w:tab w:leader="none" w:pos="58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rFonts w:ascii="Arial" w:cs="Arial" w:eastAsia="Arial" w:hAnsi="Arial"/>
          <w:sz w:val="20"/>
          <w:szCs w:val="20"/>
          <w:b w:val="1"/>
          <w:bCs w:val="1"/>
          <w:color w:val="auto"/>
        </w:rPr>
      </w:pPr>
    </w:p>
    <w:p>
      <w:pPr>
        <w:ind w:left="580"/>
        <w:spacing w:after="0"/>
        <w:rPr>
          <w:rFonts w:ascii="Arial" w:cs="Arial" w:eastAsia="Arial" w:hAnsi="Arial"/>
          <w:sz w:val="20"/>
          <w:szCs w:val="20"/>
          <w:b w:val="1"/>
          <w:bCs w:val="1"/>
          <w:color w:val="auto"/>
        </w:rPr>
      </w:pPr>
      <w:r>
        <w:rPr>
          <w:rFonts w:ascii="Arial" w:cs="Arial" w:eastAsia="Arial" w:hAnsi="Arial"/>
          <w:sz w:val="20"/>
          <w:szCs w:val="20"/>
          <w:color w:val="auto"/>
        </w:rPr>
        <w:t>The Company had no income tax for the years ended December 31, 2025 and 2024.</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2240" w:h="15840" w:orient="portrait"/>
          <w:cols w:equalWidth="0" w:num="1">
            <w:col w:w="9360"/>
          </w:cols>
          <w:pgMar w:left="1440" w:top="1420" w:right="1440" w:bottom="393" w:gutter="0" w:footer="0" w:header="0"/>
        </w:sectPr>
      </w:pPr>
    </w:p>
    <w:bookmarkStart w:id="124" w:name="page125"/>
    <w:bookmarkEnd w:id="124"/>
    <w:p>
      <w:pPr>
        <w:ind w:left="580" w:right="80"/>
        <w:spacing w:after="0" w:line="282" w:lineRule="auto"/>
        <w:rPr>
          <w:sz w:val="20"/>
          <w:szCs w:val="20"/>
          <w:color w:val="auto"/>
        </w:rPr>
      </w:pPr>
      <w:r>
        <w:rPr>
          <w:rFonts w:ascii="Arial" w:cs="Arial" w:eastAsia="Arial" w:hAnsi="Arial"/>
          <w:sz w:val="20"/>
          <w:szCs w:val="20"/>
          <w:color w:val="auto"/>
        </w:rPr>
        <w:t>The effective tax rate of our provision for income taxes differs from the federal statutory rate for the periods presented as follows:</w:t>
      </w:r>
    </w:p>
    <w:p>
      <w:pPr>
        <w:spacing w:after="0" w:line="200" w:lineRule="exact"/>
        <w:rPr>
          <w:sz w:val="20"/>
          <w:szCs w:val="20"/>
          <w:color w:val="auto"/>
        </w:rPr>
      </w:pP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December 31,</w:t>
            </w:r>
          </w:p>
        </w:tc>
        <w:tc>
          <w:tcPr>
            <w:tcW w:w="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80"/>
        </w:trPr>
        <w:tc>
          <w:tcPr>
            <w:tcW w:w="4600" w:type="dxa"/>
            <w:vAlign w:val="bottom"/>
            <w:tcBorders>
              <w:bottom w:val="single" w:sz="8" w:color="D4EFF3"/>
            </w:tcBorders>
          </w:tcPr>
          <w:p>
            <w:pPr>
              <w:spacing w:after="0"/>
              <w:rPr>
                <w:sz w:val="15"/>
                <w:szCs w:val="15"/>
                <w:color w:val="auto"/>
              </w:rPr>
            </w:pPr>
          </w:p>
        </w:tc>
        <w:tc>
          <w:tcPr>
            <w:tcW w:w="20" w:type="dxa"/>
            <w:vAlign w:val="bottom"/>
            <w:tcBorders>
              <w:bottom w:val="single" w:sz="8" w:color="D4EFF3"/>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5"/>
                <w:szCs w:val="15"/>
                <w:color w:val="auto"/>
              </w:rPr>
            </w:pPr>
          </w:p>
        </w:tc>
      </w:tr>
      <w:tr>
        <w:trPr>
          <w:trHeight w:val="184"/>
        </w:trPr>
        <w:tc>
          <w:tcPr>
            <w:tcW w:w="4620" w:type="dxa"/>
            <w:vAlign w:val="bottom"/>
            <w:gridSpan w:val="2"/>
            <w:shd w:val="clear" w:color="auto" w:fill="D4EFF3"/>
          </w:tcPr>
          <w:p>
            <w:pPr>
              <w:ind w:left="20"/>
              <w:spacing w:after="0"/>
              <w:rPr>
                <w:sz w:val="20"/>
                <w:szCs w:val="20"/>
                <w:color w:val="auto"/>
              </w:rPr>
            </w:pPr>
            <w:r>
              <w:rPr>
                <w:rFonts w:ascii="Arial" w:cs="Arial" w:eastAsia="Arial" w:hAnsi="Arial"/>
                <w:sz w:val="14"/>
                <w:szCs w:val="14"/>
                <w:color w:val="auto"/>
              </w:rPr>
              <w:t>Federal statutory rate</w:t>
            </w:r>
          </w:p>
        </w:tc>
        <w:tc>
          <w:tcPr>
            <w:tcW w:w="260" w:type="dxa"/>
            <w:vAlign w:val="bottom"/>
            <w:shd w:val="clear" w:color="auto" w:fill="D4EFF3"/>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shd w:val="clear" w:color="auto" w:fill="D4EFF3"/>
          </w:tcPr>
          <w:p>
            <w:pPr>
              <w:jc w:val="right"/>
              <w:spacing w:after="0"/>
              <w:rPr>
                <w:sz w:val="20"/>
                <w:szCs w:val="20"/>
                <w:color w:val="auto"/>
              </w:rPr>
            </w:pPr>
            <w:r>
              <w:rPr>
                <w:rFonts w:ascii="Arial" w:cs="Arial" w:eastAsia="Arial" w:hAnsi="Arial"/>
                <w:sz w:val="14"/>
                <w:szCs w:val="14"/>
                <w:color w:val="auto"/>
              </w:rPr>
              <w:t>(13,963)</w:t>
            </w:r>
          </w:p>
        </w:tc>
        <w:tc>
          <w:tcPr>
            <w:tcW w:w="540" w:type="dxa"/>
            <w:vAlign w:val="bottom"/>
            <w:shd w:val="clear" w:color="auto" w:fill="D4EFF3"/>
          </w:tcPr>
          <w:p>
            <w:pPr>
              <w:jc w:val="right"/>
              <w:spacing w:after="0"/>
              <w:rPr>
                <w:sz w:val="20"/>
                <w:szCs w:val="20"/>
                <w:color w:val="auto"/>
              </w:rPr>
            </w:pPr>
            <w:r>
              <w:rPr>
                <w:rFonts w:ascii="Arial" w:cs="Arial" w:eastAsia="Arial" w:hAnsi="Arial"/>
                <w:sz w:val="14"/>
                <w:szCs w:val="14"/>
                <w:color w:val="auto"/>
              </w:rPr>
              <w:t>21.0%</w:t>
            </w:r>
          </w:p>
        </w:tc>
        <w:tc>
          <w:tcPr>
            <w:tcW w:w="1180" w:type="dxa"/>
            <w:vAlign w:val="bottom"/>
            <w:shd w:val="clear" w:color="auto" w:fill="D4EFF3"/>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D4EFF3"/>
          </w:tcPr>
          <w:p>
            <w:pPr>
              <w:jc w:val="right"/>
              <w:spacing w:after="0"/>
              <w:rPr>
                <w:sz w:val="20"/>
                <w:szCs w:val="20"/>
                <w:color w:val="auto"/>
              </w:rPr>
            </w:pPr>
            <w:r>
              <w:rPr>
                <w:rFonts w:ascii="Arial" w:cs="Arial" w:eastAsia="Arial" w:hAnsi="Arial"/>
                <w:sz w:val="14"/>
                <w:szCs w:val="14"/>
                <w:color w:val="auto"/>
              </w:rPr>
              <w:t>(10,368)</w:t>
            </w:r>
          </w:p>
        </w:tc>
        <w:tc>
          <w:tcPr>
            <w:tcW w:w="500" w:type="dxa"/>
            <w:vAlign w:val="bottom"/>
            <w:shd w:val="clear" w:color="auto" w:fill="D4EFF3"/>
          </w:tcPr>
          <w:p>
            <w:pPr>
              <w:jc w:val="right"/>
              <w:spacing w:after="0"/>
              <w:rPr>
                <w:sz w:val="20"/>
                <w:szCs w:val="20"/>
                <w:color w:val="auto"/>
              </w:rPr>
            </w:pPr>
            <w:r>
              <w:rPr>
                <w:rFonts w:ascii="Arial" w:cs="Arial" w:eastAsia="Arial" w:hAnsi="Arial"/>
                <w:sz w:val="14"/>
                <w:szCs w:val="14"/>
                <w:color w:val="auto"/>
              </w:rPr>
              <w:t>21.0%</w:t>
            </w:r>
          </w:p>
        </w:tc>
      </w:tr>
      <w:tr>
        <w:trPr>
          <w:trHeight w:val="187"/>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Adjustment resulting from the tax effect of:</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6"/>
        </w:trPr>
        <w:tc>
          <w:tcPr>
            <w:tcW w:w="4620" w:type="dxa"/>
            <w:vAlign w:val="bottom"/>
            <w:gridSpan w:val="2"/>
            <w:shd w:val="clear" w:color="auto" w:fill="D4EFF3"/>
          </w:tcPr>
          <w:p>
            <w:pPr>
              <w:ind w:left="320"/>
              <w:spacing w:after="0"/>
              <w:rPr>
                <w:sz w:val="20"/>
                <w:szCs w:val="20"/>
                <w:color w:val="auto"/>
              </w:rPr>
            </w:pPr>
            <w:r>
              <w:rPr>
                <w:rFonts w:ascii="Arial" w:cs="Arial" w:eastAsia="Arial" w:hAnsi="Arial"/>
                <w:sz w:val="14"/>
                <w:szCs w:val="14"/>
                <w:color w:val="auto"/>
              </w:rPr>
              <w:t>State and local income tax, net of federal (national) income tax effect</w:t>
            </w:r>
          </w:p>
        </w:tc>
        <w:tc>
          <w:tcPr>
            <w:tcW w:w="260" w:type="dxa"/>
            <w:vAlign w:val="bottom"/>
            <w:shd w:val="clear" w:color="auto" w:fill="D4EFF3"/>
          </w:tcPr>
          <w:p>
            <w:pPr>
              <w:spacing w:after="0"/>
              <w:rPr>
                <w:sz w:val="17"/>
                <w:szCs w:val="17"/>
                <w:color w:val="auto"/>
              </w:rPr>
            </w:pPr>
          </w:p>
        </w:tc>
        <w:tc>
          <w:tcPr>
            <w:tcW w:w="660" w:type="dxa"/>
            <w:vAlign w:val="bottom"/>
            <w:shd w:val="clear" w:color="auto" w:fill="D4EFF3"/>
          </w:tcPr>
          <w:p>
            <w:pPr>
              <w:jc w:val="right"/>
              <w:ind w:right="53"/>
              <w:spacing w:after="0"/>
              <w:rPr>
                <w:sz w:val="20"/>
                <w:szCs w:val="20"/>
                <w:color w:val="auto"/>
              </w:rPr>
            </w:pPr>
            <w:r>
              <w:rPr>
                <w:rFonts w:ascii="Arial" w:cs="Arial" w:eastAsia="Arial" w:hAnsi="Arial"/>
                <w:sz w:val="14"/>
                <w:szCs w:val="14"/>
                <w:color w:val="auto"/>
              </w:rPr>
              <w:t>(4,416)</w:t>
            </w:r>
          </w:p>
        </w:tc>
        <w:tc>
          <w:tcPr>
            <w:tcW w:w="540" w:type="dxa"/>
            <w:vAlign w:val="bottom"/>
            <w:shd w:val="clear" w:color="auto" w:fill="D4EFF3"/>
          </w:tcPr>
          <w:p>
            <w:pPr>
              <w:jc w:val="right"/>
              <w:spacing w:after="0"/>
              <w:rPr>
                <w:sz w:val="20"/>
                <w:szCs w:val="20"/>
                <w:color w:val="auto"/>
              </w:rPr>
            </w:pPr>
            <w:r>
              <w:rPr>
                <w:rFonts w:ascii="Arial" w:cs="Arial" w:eastAsia="Arial" w:hAnsi="Arial"/>
                <w:sz w:val="14"/>
                <w:szCs w:val="14"/>
                <w:color w:val="auto"/>
              </w:rPr>
              <w:t>6.6%</w:t>
            </w:r>
          </w:p>
        </w:tc>
        <w:tc>
          <w:tcPr>
            <w:tcW w:w="118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33"/>
              <w:spacing w:after="0"/>
              <w:rPr>
                <w:sz w:val="20"/>
                <w:szCs w:val="20"/>
                <w:color w:val="auto"/>
              </w:rPr>
            </w:pPr>
            <w:r>
              <w:rPr>
                <w:rFonts w:ascii="Arial" w:cs="Arial" w:eastAsia="Arial" w:hAnsi="Arial"/>
                <w:sz w:val="14"/>
                <w:szCs w:val="14"/>
                <w:color w:val="auto"/>
              </w:rPr>
              <w:t>(3,454)</w:t>
            </w:r>
          </w:p>
        </w:tc>
        <w:tc>
          <w:tcPr>
            <w:tcW w:w="500" w:type="dxa"/>
            <w:vAlign w:val="bottom"/>
            <w:shd w:val="clear" w:color="auto" w:fill="D4EFF3"/>
          </w:tcPr>
          <w:p>
            <w:pPr>
              <w:jc w:val="right"/>
              <w:spacing w:after="0"/>
              <w:rPr>
                <w:sz w:val="20"/>
                <w:szCs w:val="20"/>
                <w:color w:val="auto"/>
              </w:rPr>
            </w:pPr>
            <w:r>
              <w:rPr>
                <w:rFonts w:ascii="Arial" w:cs="Arial" w:eastAsia="Arial" w:hAnsi="Arial"/>
                <w:sz w:val="14"/>
                <w:szCs w:val="14"/>
                <w:color w:val="auto"/>
              </w:rPr>
              <w:t>7.0%</w:t>
            </w:r>
          </w:p>
        </w:tc>
      </w:tr>
      <w:tr>
        <w:trPr>
          <w:trHeight w:val="190"/>
        </w:trPr>
        <w:tc>
          <w:tcPr>
            <w:tcW w:w="4620" w:type="dxa"/>
            <w:vAlign w:val="bottom"/>
            <w:gridSpan w:val="2"/>
          </w:tcPr>
          <w:p>
            <w:pPr>
              <w:ind w:left="320"/>
              <w:spacing w:after="0"/>
              <w:rPr>
                <w:sz w:val="20"/>
                <w:szCs w:val="20"/>
                <w:color w:val="auto"/>
              </w:rPr>
            </w:pPr>
            <w:r>
              <w:rPr>
                <w:rFonts w:ascii="Arial" w:cs="Arial" w:eastAsia="Arial" w:hAnsi="Arial"/>
                <w:sz w:val="14"/>
                <w:szCs w:val="14"/>
                <w:color w:val="auto"/>
              </w:rPr>
              <w:t>Foreign Tax Effects</w:t>
            </w:r>
          </w:p>
        </w:tc>
        <w:tc>
          <w:tcPr>
            <w:tcW w:w="26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w:t>
            </w:r>
          </w:p>
        </w:tc>
        <w:tc>
          <w:tcPr>
            <w:tcW w:w="118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04"/>
        </w:trPr>
        <w:tc>
          <w:tcPr>
            <w:tcW w:w="4620" w:type="dxa"/>
            <w:vAlign w:val="bottom"/>
            <w:gridSpan w:val="2"/>
            <w:shd w:val="clear" w:color="auto" w:fill="D4EFF3"/>
          </w:tcPr>
          <w:p>
            <w:pPr>
              <w:ind w:left="320"/>
              <w:spacing w:after="0"/>
              <w:rPr>
                <w:sz w:val="20"/>
                <w:szCs w:val="20"/>
                <w:color w:val="auto"/>
              </w:rPr>
            </w:pPr>
            <w:r>
              <w:rPr>
                <w:rFonts w:ascii="Arial" w:cs="Arial" w:eastAsia="Arial" w:hAnsi="Arial"/>
                <w:sz w:val="14"/>
                <w:szCs w:val="14"/>
                <w:color w:val="auto"/>
              </w:rPr>
              <w:t>Effect of changes in tax laws or rates enacted in the current period</w:t>
            </w:r>
          </w:p>
        </w:tc>
        <w:tc>
          <w:tcPr>
            <w:tcW w:w="260" w:type="dxa"/>
            <w:vAlign w:val="bottom"/>
            <w:shd w:val="clear" w:color="auto" w:fill="D4EFF3"/>
          </w:tcPr>
          <w:p>
            <w:pPr>
              <w:spacing w:after="0"/>
              <w:rPr>
                <w:sz w:val="17"/>
                <w:szCs w:val="17"/>
                <w:color w:val="auto"/>
              </w:rPr>
            </w:pPr>
          </w:p>
        </w:tc>
        <w:tc>
          <w:tcPr>
            <w:tcW w:w="660" w:type="dxa"/>
            <w:vAlign w:val="bottom"/>
            <w:shd w:val="clear" w:color="auto" w:fill="D4EFF3"/>
          </w:tcPr>
          <w:p>
            <w:pPr>
              <w:jc w:val="right"/>
              <w:ind w:right="173"/>
              <w:spacing w:after="0"/>
              <w:rPr>
                <w:sz w:val="20"/>
                <w:szCs w:val="20"/>
                <w:color w:val="auto"/>
              </w:rPr>
            </w:pPr>
            <w:r>
              <w:rPr>
                <w:rFonts w:ascii="Arial" w:cs="Arial" w:eastAsia="Arial" w:hAnsi="Arial"/>
                <w:sz w:val="14"/>
                <w:szCs w:val="14"/>
                <w:color w:val="auto"/>
              </w:rPr>
              <w:t>-</w:t>
            </w:r>
          </w:p>
        </w:tc>
        <w:tc>
          <w:tcPr>
            <w:tcW w:w="540" w:type="dxa"/>
            <w:vAlign w:val="bottom"/>
            <w:shd w:val="clear" w:color="auto" w:fill="D4EFF3"/>
          </w:tcPr>
          <w:p>
            <w:pPr>
              <w:jc w:val="right"/>
              <w:spacing w:after="0"/>
              <w:rPr>
                <w:sz w:val="20"/>
                <w:szCs w:val="20"/>
                <w:color w:val="auto"/>
              </w:rPr>
            </w:pPr>
            <w:r>
              <w:rPr>
                <w:rFonts w:ascii="Arial" w:cs="Arial" w:eastAsia="Arial" w:hAnsi="Arial"/>
                <w:sz w:val="14"/>
                <w:szCs w:val="14"/>
                <w:color w:val="auto"/>
              </w:rPr>
              <w:t>0.0%</w:t>
            </w:r>
          </w:p>
        </w:tc>
        <w:tc>
          <w:tcPr>
            <w:tcW w:w="1180" w:type="dxa"/>
            <w:vAlign w:val="bottom"/>
            <w:shd w:val="clear" w:color="auto" w:fill="D4EFF3"/>
          </w:tcPr>
          <w:p>
            <w:pPr>
              <w:spacing w:after="0"/>
              <w:rPr>
                <w:sz w:val="17"/>
                <w:szCs w:val="17"/>
                <w:color w:val="auto"/>
              </w:rPr>
            </w:pPr>
          </w:p>
        </w:tc>
        <w:tc>
          <w:tcPr>
            <w:tcW w:w="600" w:type="dxa"/>
            <w:vAlign w:val="bottom"/>
            <w:shd w:val="clear" w:color="auto" w:fill="D4EFF3"/>
          </w:tcPr>
          <w:p>
            <w:pPr>
              <w:ind w:left="340"/>
              <w:spacing w:after="0"/>
              <w:rPr>
                <w:sz w:val="20"/>
                <w:szCs w:val="20"/>
                <w:color w:val="auto"/>
              </w:rPr>
            </w:pPr>
            <w:r>
              <w:rPr>
                <w:rFonts w:ascii="Arial" w:cs="Arial" w:eastAsia="Arial" w:hAnsi="Arial"/>
                <w:sz w:val="14"/>
                <w:szCs w:val="14"/>
                <w:color w:val="auto"/>
              </w:rPr>
              <w:t>-</w:t>
            </w:r>
          </w:p>
        </w:tc>
        <w:tc>
          <w:tcPr>
            <w:tcW w:w="500" w:type="dxa"/>
            <w:vAlign w:val="bottom"/>
            <w:shd w:val="clear" w:color="auto" w:fill="D4EFF3"/>
          </w:tcPr>
          <w:p>
            <w:pPr>
              <w:jc w:val="right"/>
              <w:spacing w:after="0"/>
              <w:rPr>
                <w:sz w:val="20"/>
                <w:szCs w:val="20"/>
                <w:color w:val="auto"/>
              </w:rPr>
            </w:pPr>
            <w:r>
              <w:rPr>
                <w:rFonts w:ascii="Arial" w:cs="Arial" w:eastAsia="Arial" w:hAnsi="Arial"/>
                <w:sz w:val="14"/>
                <w:szCs w:val="14"/>
                <w:color w:val="auto"/>
              </w:rPr>
              <w:t>0.0%</w:t>
            </w:r>
          </w:p>
        </w:tc>
      </w:tr>
      <w:tr>
        <w:trPr>
          <w:trHeight w:val="190"/>
        </w:trPr>
        <w:tc>
          <w:tcPr>
            <w:tcW w:w="4620" w:type="dxa"/>
            <w:vAlign w:val="bottom"/>
            <w:gridSpan w:val="2"/>
          </w:tcPr>
          <w:p>
            <w:pPr>
              <w:ind w:left="320"/>
              <w:spacing w:after="0"/>
              <w:rPr>
                <w:sz w:val="20"/>
                <w:szCs w:val="20"/>
                <w:color w:val="auto"/>
              </w:rPr>
            </w:pPr>
            <w:r>
              <w:rPr>
                <w:rFonts w:ascii="Arial" w:cs="Arial" w:eastAsia="Arial" w:hAnsi="Arial"/>
                <w:sz w:val="14"/>
                <w:szCs w:val="14"/>
                <w:color w:val="auto"/>
              </w:rPr>
              <w:t>Effect of cross-border tax laws</w:t>
            </w:r>
          </w:p>
        </w:tc>
        <w:tc>
          <w:tcPr>
            <w:tcW w:w="26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w:t>
            </w:r>
          </w:p>
        </w:tc>
        <w:tc>
          <w:tcPr>
            <w:tcW w:w="118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204"/>
        </w:trPr>
        <w:tc>
          <w:tcPr>
            <w:tcW w:w="4620" w:type="dxa"/>
            <w:vAlign w:val="bottom"/>
            <w:gridSpan w:val="2"/>
            <w:shd w:val="clear" w:color="auto" w:fill="D4EFF3"/>
          </w:tcPr>
          <w:p>
            <w:pPr>
              <w:ind w:left="320"/>
              <w:spacing w:after="0"/>
              <w:rPr>
                <w:sz w:val="20"/>
                <w:szCs w:val="20"/>
                <w:color w:val="auto"/>
              </w:rPr>
            </w:pPr>
            <w:r>
              <w:rPr>
                <w:rFonts w:ascii="Arial" w:cs="Arial" w:eastAsia="Arial" w:hAnsi="Arial"/>
                <w:sz w:val="14"/>
                <w:szCs w:val="14"/>
                <w:color w:val="auto"/>
              </w:rPr>
              <w:t>Tax Credits</w:t>
            </w:r>
          </w:p>
        </w:tc>
        <w:tc>
          <w:tcPr>
            <w:tcW w:w="260" w:type="dxa"/>
            <w:vAlign w:val="bottom"/>
            <w:shd w:val="clear" w:color="auto" w:fill="D4EFF3"/>
          </w:tcPr>
          <w:p>
            <w:pPr>
              <w:spacing w:after="0"/>
              <w:rPr>
                <w:sz w:val="17"/>
                <w:szCs w:val="17"/>
                <w:color w:val="auto"/>
              </w:rPr>
            </w:pPr>
          </w:p>
        </w:tc>
        <w:tc>
          <w:tcPr>
            <w:tcW w:w="660" w:type="dxa"/>
            <w:vAlign w:val="bottom"/>
            <w:shd w:val="clear" w:color="auto" w:fill="D4EFF3"/>
          </w:tcPr>
          <w:p>
            <w:pPr>
              <w:spacing w:after="0"/>
              <w:rPr>
                <w:sz w:val="17"/>
                <w:szCs w:val="17"/>
                <w:color w:val="auto"/>
              </w:rPr>
            </w:pPr>
          </w:p>
        </w:tc>
        <w:tc>
          <w:tcPr>
            <w:tcW w:w="540" w:type="dxa"/>
            <w:vAlign w:val="bottom"/>
            <w:shd w:val="clear" w:color="auto" w:fill="D4EFF3"/>
          </w:tcPr>
          <w:p>
            <w:pPr>
              <w:spacing w:after="0"/>
              <w:rPr>
                <w:sz w:val="17"/>
                <w:szCs w:val="17"/>
                <w:color w:val="auto"/>
              </w:rPr>
            </w:pPr>
          </w:p>
        </w:tc>
        <w:tc>
          <w:tcPr>
            <w:tcW w:w="1180" w:type="dxa"/>
            <w:vAlign w:val="bottom"/>
            <w:shd w:val="clear" w:color="auto" w:fill="D4EFF3"/>
          </w:tcPr>
          <w:p>
            <w:pPr>
              <w:spacing w:after="0"/>
              <w:rPr>
                <w:sz w:val="17"/>
                <w:szCs w:val="17"/>
                <w:color w:val="auto"/>
              </w:rPr>
            </w:pPr>
          </w:p>
        </w:tc>
        <w:tc>
          <w:tcPr>
            <w:tcW w:w="600" w:type="dxa"/>
            <w:vAlign w:val="bottom"/>
            <w:shd w:val="clear" w:color="auto" w:fill="D4EFF3"/>
          </w:tcPr>
          <w:p>
            <w:pPr>
              <w:spacing w:after="0"/>
              <w:rPr>
                <w:sz w:val="17"/>
                <w:szCs w:val="17"/>
                <w:color w:val="auto"/>
              </w:rPr>
            </w:pPr>
          </w:p>
        </w:tc>
        <w:tc>
          <w:tcPr>
            <w:tcW w:w="500" w:type="dxa"/>
            <w:vAlign w:val="bottom"/>
            <w:shd w:val="clear" w:color="auto" w:fill="D4EFF3"/>
          </w:tcPr>
          <w:p>
            <w:pPr>
              <w:spacing w:after="0"/>
              <w:rPr>
                <w:sz w:val="17"/>
                <w:szCs w:val="17"/>
                <w:color w:val="auto"/>
              </w:rPr>
            </w:pPr>
          </w:p>
        </w:tc>
      </w:tr>
      <w:tr>
        <w:trPr>
          <w:trHeight w:val="190"/>
        </w:trPr>
        <w:tc>
          <w:tcPr>
            <w:tcW w:w="4620" w:type="dxa"/>
            <w:vAlign w:val="bottom"/>
            <w:gridSpan w:val="2"/>
          </w:tcPr>
          <w:p>
            <w:pPr>
              <w:ind w:left="540"/>
              <w:spacing w:after="0"/>
              <w:rPr>
                <w:sz w:val="20"/>
                <w:szCs w:val="20"/>
                <w:color w:val="auto"/>
              </w:rPr>
            </w:pPr>
            <w:r>
              <w:rPr>
                <w:rFonts w:ascii="Arial" w:cs="Arial" w:eastAsia="Arial" w:hAnsi="Arial"/>
                <w:sz w:val="14"/>
                <w:szCs w:val="14"/>
                <w:color w:val="auto"/>
              </w:rPr>
              <w:t>Research and development tax credits</w:t>
            </w:r>
          </w:p>
        </w:tc>
        <w:tc>
          <w:tcPr>
            <w:tcW w:w="26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(2,045)</w:t>
            </w:r>
          </w:p>
        </w:tc>
        <w:tc>
          <w:tcPr>
            <w:tcW w:w="540" w:type="dxa"/>
            <w:vAlign w:val="bottom"/>
          </w:tcPr>
          <w:p>
            <w:pPr>
              <w:jc w:val="right"/>
              <w:spacing w:after="0"/>
              <w:rPr>
                <w:sz w:val="20"/>
                <w:szCs w:val="20"/>
                <w:color w:val="auto"/>
              </w:rPr>
            </w:pPr>
            <w:r>
              <w:rPr>
                <w:rFonts w:ascii="Arial" w:cs="Arial" w:eastAsia="Arial" w:hAnsi="Arial"/>
                <w:sz w:val="14"/>
                <w:szCs w:val="14"/>
                <w:color w:val="auto"/>
              </w:rPr>
              <w:t>3.1%</w:t>
            </w: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(2,864)</w:t>
            </w:r>
          </w:p>
        </w:tc>
        <w:tc>
          <w:tcPr>
            <w:tcW w:w="5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4"/>
        </w:trPr>
        <w:tc>
          <w:tcPr>
            <w:tcW w:w="4620" w:type="dxa"/>
            <w:vAlign w:val="bottom"/>
            <w:gridSpan w:val="2"/>
            <w:shd w:val="clear" w:color="auto" w:fill="D4EFF3"/>
          </w:tcPr>
          <w:p>
            <w:pPr>
              <w:ind w:left="320"/>
              <w:spacing w:after="0"/>
              <w:rPr>
                <w:sz w:val="20"/>
                <w:szCs w:val="20"/>
                <w:color w:val="auto"/>
              </w:rPr>
            </w:pPr>
            <w:r>
              <w:rPr>
                <w:rFonts w:ascii="Arial" w:cs="Arial" w:eastAsia="Arial" w:hAnsi="Arial"/>
                <w:sz w:val="14"/>
                <w:szCs w:val="14"/>
                <w:color w:val="auto"/>
              </w:rPr>
              <w:t>Changes in valuation allowance</w:t>
            </w:r>
          </w:p>
        </w:tc>
        <w:tc>
          <w:tcPr>
            <w:tcW w:w="260" w:type="dxa"/>
            <w:vAlign w:val="bottom"/>
            <w:shd w:val="clear" w:color="auto" w:fill="D4EFF3"/>
          </w:tcPr>
          <w:p>
            <w:pPr>
              <w:spacing w:after="0"/>
              <w:rPr>
                <w:sz w:val="17"/>
                <w:szCs w:val="17"/>
                <w:color w:val="auto"/>
              </w:rPr>
            </w:pPr>
          </w:p>
        </w:tc>
        <w:tc>
          <w:tcPr>
            <w:tcW w:w="660" w:type="dxa"/>
            <w:vAlign w:val="bottom"/>
            <w:shd w:val="clear" w:color="auto" w:fill="D4EFF3"/>
          </w:tcPr>
          <w:p>
            <w:pPr>
              <w:jc w:val="right"/>
              <w:ind w:right="53"/>
              <w:spacing w:after="0"/>
              <w:rPr>
                <w:sz w:val="20"/>
                <w:szCs w:val="20"/>
                <w:color w:val="auto"/>
              </w:rPr>
            </w:pPr>
            <w:r>
              <w:rPr>
                <w:rFonts w:ascii="Arial" w:cs="Arial" w:eastAsia="Arial" w:hAnsi="Arial"/>
                <w:sz w:val="14"/>
                <w:szCs w:val="14"/>
                <w:color w:val="auto"/>
              </w:rPr>
              <w:t>19,744</w:t>
            </w:r>
          </w:p>
        </w:tc>
        <w:tc>
          <w:tcPr>
            <w:tcW w:w="540" w:type="dxa"/>
            <w:vAlign w:val="bottom"/>
            <w:shd w:val="clear" w:color="auto" w:fill="D4EFF3"/>
          </w:tcPr>
          <w:p>
            <w:pPr>
              <w:jc w:val="right"/>
              <w:spacing w:after="0"/>
              <w:rPr>
                <w:sz w:val="20"/>
                <w:szCs w:val="20"/>
                <w:color w:val="auto"/>
              </w:rPr>
            </w:pPr>
            <w:r>
              <w:rPr>
                <w:rFonts w:ascii="Arial" w:cs="Arial" w:eastAsia="Arial" w:hAnsi="Arial"/>
                <w:sz w:val="14"/>
                <w:szCs w:val="14"/>
                <w:color w:val="auto"/>
              </w:rPr>
              <w:t>-29.8%</w:t>
            </w:r>
          </w:p>
        </w:tc>
        <w:tc>
          <w:tcPr>
            <w:tcW w:w="118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13"/>
              <w:spacing w:after="0"/>
              <w:rPr>
                <w:sz w:val="20"/>
                <w:szCs w:val="20"/>
                <w:color w:val="auto"/>
              </w:rPr>
            </w:pPr>
            <w:r>
              <w:rPr>
                <w:rFonts w:ascii="Arial" w:cs="Arial" w:eastAsia="Arial" w:hAnsi="Arial"/>
                <w:sz w:val="14"/>
                <w:szCs w:val="14"/>
                <w:color w:val="auto"/>
              </w:rPr>
              <w:t>15,778</w:t>
            </w:r>
          </w:p>
        </w:tc>
        <w:tc>
          <w:tcPr>
            <w:tcW w:w="500" w:type="dxa"/>
            <w:vAlign w:val="bottom"/>
            <w:shd w:val="clear" w:color="auto" w:fill="D4EFF3"/>
          </w:tcPr>
          <w:p>
            <w:pPr>
              <w:jc w:val="right"/>
              <w:spacing w:after="0"/>
              <w:rPr>
                <w:sz w:val="20"/>
                <w:szCs w:val="20"/>
                <w:color w:val="auto"/>
              </w:rPr>
            </w:pPr>
            <w:r>
              <w:rPr>
                <w:rFonts w:ascii="Arial" w:cs="Arial" w:eastAsia="Arial" w:hAnsi="Arial"/>
                <w:sz w:val="14"/>
                <w:szCs w:val="14"/>
                <w:color w:val="auto"/>
                <w:w w:val="99"/>
              </w:rPr>
              <w:t>-32.0%</w:t>
            </w:r>
          </w:p>
        </w:tc>
      </w:tr>
      <w:tr>
        <w:trPr>
          <w:trHeight w:val="187"/>
        </w:trPr>
        <w:tc>
          <w:tcPr>
            <w:tcW w:w="4620" w:type="dxa"/>
            <w:vAlign w:val="bottom"/>
            <w:gridSpan w:val="2"/>
          </w:tcPr>
          <w:p>
            <w:pPr>
              <w:ind w:left="320"/>
              <w:spacing w:after="0"/>
              <w:rPr>
                <w:sz w:val="20"/>
                <w:szCs w:val="20"/>
                <w:color w:val="auto"/>
              </w:rPr>
            </w:pPr>
            <w:r>
              <w:rPr>
                <w:rFonts w:ascii="Arial" w:cs="Arial" w:eastAsia="Arial" w:hAnsi="Arial"/>
                <w:sz w:val="14"/>
                <w:szCs w:val="14"/>
                <w:color w:val="auto"/>
              </w:rPr>
              <w:t>Nontaxable or nondeductible items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6"/>
        </w:trPr>
        <w:tc>
          <w:tcPr>
            <w:tcW w:w="4620" w:type="dxa"/>
            <w:vAlign w:val="bottom"/>
            <w:gridSpan w:val="2"/>
            <w:shd w:val="clear" w:color="auto" w:fill="D4EFF3"/>
          </w:tcPr>
          <w:p>
            <w:pPr>
              <w:ind w:left="540"/>
              <w:spacing w:after="0"/>
              <w:rPr>
                <w:sz w:val="20"/>
                <w:szCs w:val="20"/>
                <w:color w:val="auto"/>
              </w:rPr>
            </w:pPr>
            <w:r>
              <w:rPr>
                <w:rFonts w:ascii="Arial" w:cs="Arial" w:eastAsia="Arial" w:hAnsi="Arial"/>
                <w:sz w:val="14"/>
                <w:szCs w:val="14"/>
                <w:color w:val="auto"/>
              </w:rPr>
              <w:t>Stock compensation &amp; other nondeductible expenses</w:t>
            </w:r>
          </w:p>
        </w:tc>
        <w:tc>
          <w:tcPr>
            <w:tcW w:w="260" w:type="dxa"/>
            <w:vAlign w:val="bottom"/>
            <w:shd w:val="clear" w:color="auto" w:fill="D4EFF3"/>
          </w:tcPr>
          <w:p>
            <w:pPr>
              <w:spacing w:after="0"/>
              <w:rPr>
                <w:sz w:val="17"/>
                <w:szCs w:val="17"/>
                <w:color w:val="auto"/>
              </w:rPr>
            </w:pPr>
          </w:p>
        </w:tc>
        <w:tc>
          <w:tcPr>
            <w:tcW w:w="660" w:type="dxa"/>
            <w:vAlign w:val="bottom"/>
            <w:shd w:val="clear" w:color="auto" w:fill="D4EFF3"/>
          </w:tcPr>
          <w:p>
            <w:pPr>
              <w:jc w:val="right"/>
              <w:ind w:right="93"/>
              <w:spacing w:after="0"/>
              <w:rPr>
                <w:sz w:val="20"/>
                <w:szCs w:val="20"/>
                <w:color w:val="auto"/>
              </w:rPr>
            </w:pPr>
            <w:r>
              <w:rPr>
                <w:rFonts w:ascii="Arial" w:cs="Arial" w:eastAsia="Arial" w:hAnsi="Arial"/>
                <w:sz w:val="14"/>
                <w:szCs w:val="14"/>
                <w:color w:val="auto"/>
              </w:rPr>
              <w:t>680</w:t>
            </w:r>
          </w:p>
        </w:tc>
        <w:tc>
          <w:tcPr>
            <w:tcW w:w="540" w:type="dxa"/>
            <w:vAlign w:val="bottom"/>
            <w:shd w:val="clear" w:color="auto" w:fill="D4EFF3"/>
          </w:tcPr>
          <w:p>
            <w:pPr>
              <w:jc w:val="right"/>
              <w:spacing w:after="0"/>
              <w:rPr>
                <w:sz w:val="20"/>
                <w:szCs w:val="20"/>
                <w:color w:val="auto"/>
              </w:rPr>
            </w:pPr>
            <w:r>
              <w:rPr>
                <w:rFonts w:ascii="Arial" w:cs="Arial" w:eastAsia="Arial" w:hAnsi="Arial"/>
                <w:sz w:val="14"/>
                <w:szCs w:val="14"/>
                <w:color w:val="auto"/>
              </w:rPr>
              <w:t>-0.9%</w:t>
            </w:r>
          </w:p>
        </w:tc>
        <w:tc>
          <w:tcPr>
            <w:tcW w:w="1180" w:type="dxa"/>
            <w:vAlign w:val="bottom"/>
            <w:shd w:val="clear" w:color="auto" w:fill="D4EFF3"/>
          </w:tcPr>
          <w:p>
            <w:pPr>
              <w:spacing w:after="0"/>
              <w:rPr>
                <w:sz w:val="17"/>
                <w:szCs w:val="17"/>
                <w:color w:val="auto"/>
              </w:rPr>
            </w:pPr>
          </w:p>
        </w:tc>
        <w:tc>
          <w:tcPr>
            <w:tcW w:w="600" w:type="dxa"/>
            <w:vAlign w:val="bottom"/>
            <w:shd w:val="clear" w:color="auto" w:fill="D4EFF3"/>
          </w:tcPr>
          <w:p>
            <w:pPr>
              <w:jc w:val="right"/>
              <w:ind w:right="13"/>
              <w:spacing w:after="0"/>
              <w:rPr>
                <w:sz w:val="20"/>
                <w:szCs w:val="20"/>
                <w:color w:val="auto"/>
              </w:rPr>
            </w:pPr>
            <w:r>
              <w:rPr>
                <w:rFonts w:ascii="Arial" w:cs="Arial" w:eastAsia="Arial" w:hAnsi="Arial"/>
                <w:sz w:val="14"/>
                <w:szCs w:val="14"/>
                <w:color w:val="auto"/>
              </w:rPr>
              <w:t>532</w:t>
            </w:r>
          </w:p>
        </w:tc>
        <w:tc>
          <w:tcPr>
            <w:tcW w:w="500" w:type="dxa"/>
            <w:vAlign w:val="bottom"/>
            <w:shd w:val="clear" w:color="auto" w:fill="D4EFF3"/>
          </w:tcPr>
          <w:p>
            <w:pPr>
              <w:jc w:val="right"/>
              <w:spacing w:after="0"/>
              <w:rPr>
                <w:sz w:val="20"/>
                <w:szCs w:val="20"/>
                <w:color w:val="auto"/>
              </w:rPr>
            </w:pPr>
            <w:r>
              <w:rPr>
                <w:rFonts w:ascii="Arial" w:cs="Arial" w:eastAsia="Arial" w:hAnsi="Arial"/>
                <w:sz w:val="14"/>
                <w:szCs w:val="14"/>
                <w:color w:val="auto"/>
              </w:rPr>
              <w:t>-1.1%</w:t>
            </w:r>
          </w:p>
        </w:tc>
      </w:tr>
      <w:tr>
        <w:trPr>
          <w:trHeight w:val="190"/>
        </w:trPr>
        <w:tc>
          <w:tcPr>
            <w:tcW w:w="4620" w:type="dxa"/>
            <w:vAlign w:val="bottom"/>
            <w:gridSpan w:val="2"/>
          </w:tcPr>
          <w:p>
            <w:pPr>
              <w:ind w:left="320"/>
              <w:spacing w:after="0"/>
              <w:rPr>
                <w:sz w:val="20"/>
                <w:szCs w:val="20"/>
                <w:color w:val="auto"/>
              </w:rPr>
            </w:pPr>
            <w:r>
              <w:rPr>
                <w:rFonts w:ascii="Arial" w:cs="Arial" w:eastAsia="Arial" w:hAnsi="Arial"/>
                <w:sz w:val="14"/>
                <w:szCs w:val="14"/>
                <w:color w:val="auto"/>
              </w:rPr>
              <w:t>Changes in unrecognized tax benefits</w:t>
            </w:r>
          </w:p>
        </w:tc>
        <w:tc>
          <w:tcPr>
            <w:tcW w:w="26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w:t>
            </w:r>
          </w:p>
        </w:tc>
        <w:tc>
          <w:tcPr>
            <w:tcW w:w="118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97"/>
        </w:trPr>
        <w:tc>
          <w:tcPr>
            <w:tcW w:w="4600" w:type="dxa"/>
            <w:vAlign w:val="bottom"/>
            <w:tcBorders>
              <w:bottom w:val="single" w:sz="8" w:color="D4EFF3"/>
            </w:tcBorders>
            <w:shd w:val="clear" w:color="auto" w:fill="D4EFF3"/>
          </w:tcPr>
          <w:p>
            <w:pPr>
              <w:ind w:left="3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D4EFF3"/>
          </w:tcPr>
          <w:p>
            <w:pPr>
              <w:spacing w:after="0"/>
              <w:rPr>
                <w:sz w:val="17"/>
                <w:szCs w:val="17"/>
                <w:color w:val="auto"/>
              </w:rPr>
            </w:pPr>
          </w:p>
        </w:tc>
        <w:tc>
          <w:tcPr>
            <w:tcW w:w="260" w:type="dxa"/>
            <w:vAlign w:val="bottom"/>
            <w:tcBorders>
              <w:bottom w:val="single" w:sz="8" w:color="auto"/>
            </w:tcBorders>
            <w:shd w:val="clear" w:color="auto" w:fill="D4EFF3"/>
          </w:tcPr>
          <w:p>
            <w:pPr>
              <w:spacing w:after="0"/>
              <w:rPr>
                <w:sz w:val="17"/>
                <w:szCs w:val="17"/>
                <w:color w:val="auto"/>
              </w:rPr>
            </w:pPr>
          </w:p>
        </w:tc>
        <w:tc>
          <w:tcPr>
            <w:tcW w:w="660" w:type="dxa"/>
            <w:vAlign w:val="bottom"/>
            <w:tcBorders>
              <w:bottom w:val="single" w:sz="8" w:color="auto"/>
            </w:tcBorders>
            <w:shd w:val="clear" w:color="auto" w:fill="D4EFF3"/>
          </w:tcPr>
          <w:p>
            <w:pPr>
              <w:jc w:val="right"/>
              <w:ind w:right="17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4"/>
                <w:szCs w:val="14"/>
                <w:color w:val="auto"/>
              </w:rPr>
              <w:t>0.0%</w:t>
            </w:r>
          </w:p>
        </w:tc>
        <w:tc>
          <w:tcPr>
            <w:tcW w:w="1180" w:type="dxa"/>
            <w:vAlign w:val="bottom"/>
            <w:tcBorders>
              <w:bottom w:val="single" w:sz="8" w:color="auto"/>
            </w:tcBorders>
            <w:shd w:val="clear" w:color="auto" w:fill="D4EFF3"/>
          </w:tcPr>
          <w:p>
            <w:pPr>
              <w:spacing w:after="0"/>
              <w:rPr>
                <w:sz w:val="17"/>
                <w:szCs w:val="17"/>
                <w:color w:val="auto"/>
              </w:rPr>
            </w:pPr>
          </w:p>
        </w:tc>
        <w:tc>
          <w:tcPr>
            <w:tcW w:w="600" w:type="dxa"/>
            <w:vAlign w:val="bottom"/>
            <w:tcBorders>
              <w:bottom w:val="single" w:sz="8" w:color="auto"/>
            </w:tcBorders>
            <w:shd w:val="clear" w:color="auto" w:fill="D4EFF3"/>
          </w:tcPr>
          <w:p>
            <w:pPr>
              <w:jc w:val="right"/>
              <w:ind w:right="13"/>
              <w:spacing w:after="0"/>
              <w:rPr>
                <w:sz w:val="20"/>
                <w:szCs w:val="20"/>
                <w:color w:val="auto"/>
              </w:rPr>
            </w:pPr>
            <w:r>
              <w:rPr>
                <w:rFonts w:ascii="Arial" w:cs="Arial" w:eastAsia="Arial" w:hAnsi="Arial"/>
                <w:sz w:val="14"/>
                <w:szCs w:val="14"/>
                <w:color w:val="auto"/>
              </w:rPr>
              <w:t>376</w:t>
            </w:r>
          </w:p>
        </w:tc>
        <w:tc>
          <w:tcPr>
            <w:tcW w:w="50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14"/>
                <w:szCs w:val="14"/>
                <w:color w:val="auto"/>
              </w:rPr>
              <w:t>-0.7%</w:t>
            </w:r>
          </w:p>
        </w:tc>
      </w:tr>
      <w:tr>
        <w:trPr>
          <w:trHeight w:val="180"/>
        </w:trPr>
        <w:tc>
          <w:tcPr>
            <w:tcW w:w="4600" w:type="dxa"/>
            <w:vAlign w:val="bottom"/>
          </w:tcPr>
          <w:p>
            <w:pPr>
              <w:ind w:left="20"/>
              <w:spacing w:after="0"/>
              <w:rPr>
                <w:sz w:val="20"/>
                <w:szCs w:val="20"/>
                <w:color w:val="auto"/>
              </w:rPr>
            </w:pPr>
            <w:r>
              <w:rPr>
                <w:rFonts w:ascii="Arial" w:cs="Arial" w:eastAsia="Arial" w:hAnsi="Arial"/>
                <w:sz w:val="14"/>
                <w:szCs w:val="14"/>
                <w:color w:val="auto"/>
              </w:rPr>
              <w:t>Effective income tax rate</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4222750</wp:posOffset>
                </wp:positionH>
                <wp:positionV relativeFrom="paragraph">
                  <wp:posOffset>-146050</wp:posOffset>
                </wp:positionV>
                <wp:extent cx="0" cy="127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12">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5pt,-11.4999pt" to="332.5pt,-10.4999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4222750</wp:posOffset>
                </wp:positionH>
                <wp:positionV relativeFrom="paragraph">
                  <wp:posOffset>-20955</wp:posOffset>
                </wp:positionV>
                <wp:extent cx="0" cy="2095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
                        </a:xfrm>
                        <a:prstGeom prst="line">
                          <a:avLst/>
                        </a:prstGeom>
                        <a:solidFill>
                          <a:srgbClr val="FFFFFF"/>
                        </a:solidFill>
                        <a:ln w="12">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5pt,-1.6499pt" to="332.5pt,0pt" o:allowincell="f" strokecolor="#000000" strokeweight="0.0009pt"/>
            </w:pict>
          </mc:Fallback>
        </mc:AlternateContent>
        <mc:AlternateContent>
          <mc:Choice Requires="wps">
            <w:drawing>
              <wp:anchor simplePos="0" relativeHeight="251657728" behindDoc="1" locked="0" layoutInCell="0" allowOverlap="1">
                <wp:simplePos x="0" y="0"/>
                <wp:positionH relativeFrom="column">
                  <wp:posOffset>5672455</wp:posOffset>
                </wp:positionH>
                <wp:positionV relativeFrom="paragraph">
                  <wp:posOffset>-1895475</wp:posOffset>
                </wp:positionV>
                <wp:extent cx="0" cy="127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37">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65pt,-149.2499pt" to="446.65pt,-148.2499pt" o:allowincell="f" strokecolor="#000000" strokeweight="0.0029pt"/>
            </w:pict>
          </mc:Fallback>
        </mc:AlternateContent>
        <mc:AlternateContent>
          <mc:Choice Requires="wps">
            <w:drawing>
              <wp:anchor simplePos="0" relativeHeight="251657728" behindDoc="1" locked="0" layoutInCell="0" allowOverlap="1">
                <wp:simplePos x="0" y="0"/>
                <wp:positionH relativeFrom="column">
                  <wp:posOffset>5672455</wp:posOffset>
                </wp:positionH>
                <wp:positionV relativeFrom="paragraph">
                  <wp:posOffset>-1770380</wp:posOffset>
                </wp:positionV>
                <wp:extent cx="0"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37">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65pt,-139.3999pt" to="446.65pt,-138.3999pt" o:allowincell="f" strokecolor="#000000" strokeweight="0.0029pt"/>
            </w:pict>
          </mc:Fallback>
        </mc:AlternateContent>
        <mc:AlternateContent>
          <mc:Choice Requires="wps">
            <w:drawing>
              <wp:anchor simplePos="0" relativeHeight="251657728" behindDoc="1" locked="0" layoutInCell="0" allowOverlap="1">
                <wp:simplePos x="0" y="0"/>
                <wp:positionH relativeFrom="column">
                  <wp:posOffset>5672455</wp:posOffset>
                </wp:positionH>
                <wp:positionV relativeFrom="paragraph">
                  <wp:posOffset>-146050</wp:posOffset>
                </wp:positionV>
                <wp:extent cx="0" cy="127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51">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65pt,-11.4999pt" to="446.65pt,-10.4999pt" o:allowincell="f" strokecolor="#000000" strokeweight="0.004pt"/>
            </w:pict>
          </mc:Fallback>
        </mc:AlternateContent>
        <mc:AlternateContent>
          <mc:Choice Requires="wps">
            <w:drawing>
              <wp:anchor simplePos="0" relativeHeight="251657728" behindDoc="1" locked="0" layoutInCell="0" allowOverlap="1">
                <wp:simplePos x="0" y="0"/>
                <wp:positionH relativeFrom="column">
                  <wp:posOffset>5672455</wp:posOffset>
                </wp:positionH>
                <wp:positionV relativeFrom="paragraph">
                  <wp:posOffset>-20955</wp:posOffset>
                </wp:positionV>
                <wp:extent cx="0" cy="2095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55"/>
                        </a:xfrm>
                        <a:prstGeom prst="line">
                          <a:avLst/>
                        </a:prstGeom>
                        <a:solidFill>
                          <a:srgbClr val="FFFFFF"/>
                        </a:solidFill>
                        <a:ln w="51">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65pt,-1.6499pt" to="446.65pt,0pt" o:allowincell="f" strokecolor="#000000" strokeweight="0.00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 w:right="60"/>
        <w:spacing w:after="0" w:line="243" w:lineRule="auto"/>
        <w:rPr>
          <w:sz w:val="20"/>
          <w:szCs w:val="20"/>
          <w:color w:val="auto"/>
        </w:rPr>
      </w:pPr>
      <w:r>
        <w:rPr>
          <w:rFonts w:ascii="Arial" w:cs="Arial" w:eastAsia="Arial" w:hAnsi="Arial"/>
          <w:sz w:val="20"/>
          <w:szCs w:val="20"/>
          <w:color w:val="auto"/>
        </w:rPr>
        <w:t>In 2025, state and local income taxes in Massachusetts comprise the state and local income taxes category. The company had no federal or state income tax payments or refunds for the years ended December 31, 2025 and December 31, 2024. The Company accounts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the Company believes that it is more-likely-than-not that the deferred tax assets will not be realizable, and therefore, a valuation allowance has been established. The valuation allowance for deferred tax assets was approximately $79.2 million and $59.5 million as of December 31, 2025 and 2024, respectively.</w:t>
      </w:r>
    </w:p>
    <w:p>
      <w:pPr>
        <w:spacing w:after="0" w:line="201" w:lineRule="exact"/>
        <w:rPr>
          <w:sz w:val="20"/>
          <w:szCs w:val="20"/>
          <w:color w:val="auto"/>
        </w:rPr>
      </w:pPr>
    </w:p>
    <w:p>
      <w:pPr>
        <w:ind w:left="580" w:right="60"/>
        <w:spacing w:after="0" w:line="247" w:lineRule="auto"/>
        <w:rPr>
          <w:sz w:val="20"/>
          <w:szCs w:val="20"/>
          <w:color w:val="auto"/>
        </w:rPr>
      </w:pPr>
      <w:r>
        <w:rPr>
          <w:rFonts w:ascii="Arial" w:cs="Arial" w:eastAsia="Arial" w:hAnsi="Arial"/>
          <w:sz w:val="20"/>
          <w:szCs w:val="20"/>
          <w:color w:val="auto"/>
        </w:rPr>
        <w:t>As of December 31, 2025, the Company has U.S. federal and state net operating loss carryforwards (“NOLs”) of $200.4 million and $206.7 million, respectively. As of December 31, 2025, the Company has federal and state research and development credit carryforwards (“R&amp;D credits”) of $9.3 million and $2.5 million, respectively. For income tax purposes, federal NOLs will not expire since they were generated after 2017 and federal R&amp;D credits will begin expiring in 2039. For income tax purposes, state NOLs and state R&amp;D credits will begin to expire in 2040 and 2031, respectively.</w:t>
      </w:r>
    </w:p>
    <w:p>
      <w:pPr>
        <w:spacing w:after="0" w:line="191" w:lineRule="exact"/>
        <w:rPr>
          <w:sz w:val="20"/>
          <w:szCs w:val="20"/>
          <w:color w:val="auto"/>
        </w:rPr>
      </w:pPr>
    </w:p>
    <w:p>
      <w:pPr>
        <w:ind w:left="580" w:right="40"/>
        <w:spacing w:after="0" w:line="246" w:lineRule="auto"/>
        <w:rPr>
          <w:sz w:val="20"/>
          <w:szCs w:val="20"/>
          <w:color w:val="auto"/>
        </w:rPr>
      </w:pPr>
      <w:r>
        <w:rPr>
          <w:rFonts w:ascii="Arial" w:cs="Arial" w:eastAsia="Arial" w:hAnsi="Arial"/>
          <w:sz w:val="20"/>
          <w:szCs w:val="20"/>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w:t>
      </w:r>
    </w:p>
    <w:p>
      <w:pPr>
        <w:spacing w:after="0" w:line="195" w:lineRule="exact"/>
        <w:rPr>
          <w:sz w:val="20"/>
          <w:szCs w:val="20"/>
          <w:color w:val="auto"/>
        </w:rPr>
      </w:pPr>
    </w:p>
    <w:p>
      <w:pPr>
        <w:ind w:left="580" w:right="100"/>
        <w:spacing w:after="0" w:line="281" w:lineRule="auto"/>
        <w:rPr>
          <w:sz w:val="20"/>
          <w:szCs w:val="20"/>
          <w:color w:val="auto"/>
        </w:rPr>
      </w:pPr>
      <w:r>
        <w:rPr>
          <w:rFonts w:ascii="Arial" w:cs="Arial" w:eastAsia="Arial" w:hAnsi="Arial"/>
          <w:sz w:val="19"/>
          <w:szCs w:val="19"/>
          <w:color w:val="auto"/>
        </w:rPr>
        <w:t>The Tax Cuts and Jobs Act of 2017 (“TCJA”) amended IRC Section 174 to require capitalization of all research and developmental (R&amp;D) costs incurred in tax years beginning after December 31, 2021. These costs are required to be amortized with a half-year convention over five years if the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2240" w:h="15840" w:orient="portrait"/>
          <w:cols w:equalWidth="0" w:num="1">
            <w:col w:w="9360"/>
          </w:cols>
          <w:pgMar w:left="1440" w:top="1420" w:right="1440" w:bottom="393" w:gutter="0" w:footer="0" w:header="0"/>
        </w:sectPr>
      </w:pPr>
    </w:p>
    <w:bookmarkStart w:id="125" w:name="page126"/>
    <w:bookmarkEnd w:id="125"/>
    <w:p>
      <w:pPr>
        <w:ind w:left="580" w:right="220"/>
        <w:spacing w:after="0" w:line="253" w:lineRule="auto"/>
        <w:rPr>
          <w:sz w:val="20"/>
          <w:szCs w:val="20"/>
          <w:color w:val="auto"/>
        </w:rPr>
      </w:pPr>
      <w:r>
        <w:rPr>
          <w:rFonts w:ascii="Arial" w:cs="Arial" w:eastAsia="Arial" w:hAnsi="Arial"/>
          <w:sz w:val="20"/>
          <w:szCs w:val="20"/>
          <w:color w:val="auto"/>
        </w:rPr>
        <w:t>R&amp;D activities are performed in the U.S., or over 15 years if the activities were performed outside the U.S. The One Big Beautiful Bill Act (“OBBBA”) enacted in 2025 allows for current deductibility of domestic R&amp;D costs and immediate deduction for previously capitalized costs for certain taxpayers retroactive to 2024. The Company elected to take the deduction in 2024.</w:t>
      </w:r>
    </w:p>
    <w:p>
      <w:pPr>
        <w:spacing w:after="0" w:line="189" w:lineRule="exact"/>
        <w:rPr>
          <w:sz w:val="20"/>
          <w:szCs w:val="20"/>
          <w:color w:val="auto"/>
        </w:rPr>
      </w:pPr>
    </w:p>
    <w:p>
      <w:pPr>
        <w:ind w:left="580"/>
        <w:spacing w:after="0" w:line="245" w:lineRule="auto"/>
        <w:rPr>
          <w:sz w:val="20"/>
          <w:szCs w:val="20"/>
          <w:color w:val="auto"/>
        </w:rPr>
      </w:pPr>
      <w:r>
        <w:rPr>
          <w:rFonts w:ascii="Arial" w:cs="Arial" w:eastAsia="Arial" w:hAnsi="Arial"/>
          <w:sz w:val="20"/>
          <w:szCs w:val="20"/>
          <w:color w:val="auto"/>
        </w:rPr>
        <w:t>As of December 31, 2025 and 2024, the Company had no uncertain tax positions, and as such, no related interest or penalties have been recorded in the statements of operations and comprehensive loss. The Company recognizes interest and penalties related to uncertain tax positions as a component of income tax expense. All tax years of the Company from inception are open to examination by federal tax and state tax authorities. To the extent utilized in future years’ tax returns, net operating loss carryforwards at December 31, 2025 will remain subject to examination until the respective tax year is closed. The Company has not been informed by any tax authorities for any jurisdiction that any of its tax years is under examination as of December 31, 2025.</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Significant components of the Company’s deferred tax assets and liabilities are as follows:</w:t>
      </w:r>
    </w:p>
    <w:p>
      <w:pPr>
        <w:spacing w:after="0" w:line="200" w:lineRule="exact"/>
        <w:rPr>
          <w:sz w:val="20"/>
          <w:szCs w:val="20"/>
          <w:color w:val="auto"/>
        </w:rPr>
      </w:pPr>
    </w:p>
    <w:p>
      <w:pPr>
        <w:spacing w:after="0" w:line="385" w:lineRule="exact"/>
        <w:rPr>
          <w:sz w:val="20"/>
          <w:szCs w:val="20"/>
          <w:color w:val="auto"/>
        </w:rPr>
      </w:pPr>
    </w:p>
    <w:tbl>
      <w:tblPr>
        <w:tblLayout w:type="fixed"/>
        <w:tblInd w:w="72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6"/>
                <w:szCs w:val="16"/>
                <w:b w:val="1"/>
                <w:bCs w:val="1"/>
                <w:color w:val="auto"/>
              </w:rPr>
              <w:t>December 31,</w:t>
            </w:r>
          </w:p>
        </w:tc>
      </w:tr>
      <w:tr>
        <w:trPr>
          <w:trHeight w:val="269"/>
        </w:trPr>
        <w:tc>
          <w:tcPr>
            <w:tcW w:w="42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r>
      <w:tr>
        <w:trPr>
          <w:trHeight w:val="279"/>
        </w:trPr>
        <w:tc>
          <w:tcPr>
            <w:tcW w:w="4280" w:type="dxa"/>
            <w:vAlign w:val="bottom"/>
          </w:tcPr>
          <w:p>
            <w:pPr>
              <w:ind w:left="40"/>
              <w:spacing w:after="0"/>
              <w:rPr>
                <w:sz w:val="20"/>
                <w:szCs w:val="20"/>
                <w:color w:val="auto"/>
              </w:rPr>
            </w:pPr>
            <w:r>
              <w:rPr>
                <w:rFonts w:ascii="Arial" w:cs="Arial" w:eastAsia="Arial" w:hAnsi="Arial"/>
                <w:sz w:val="20"/>
                <w:szCs w:val="20"/>
                <w:b w:val="1"/>
                <w:bCs w:val="1"/>
                <w:color w:val="auto"/>
              </w:rPr>
              <w:t>Deferred tax assets</w:t>
            </w:r>
          </w:p>
        </w:tc>
        <w:tc>
          <w:tcPr>
            <w:tcW w:w="3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(000's)</w:t>
            </w:r>
          </w:p>
        </w:tc>
        <w:tc>
          <w:tcPr>
            <w:tcW w:w="920" w:type="dxa"/>
            <w:vAlign w:val="bottom"/>
          </w:tcPr>
          <w:p>
            <w:pPr>
              <w:spacing w:after="0"/>
              <w:rPr>
                <w:sz w:val="24"/>
                <w:szCs w:val="24"/>
                <w:color w:val="auto"/>
              </w:rPr>
            </w:pPr>
          </w:p>
        </w:tc>
      </w:tr>
      <w:tr>
        <w:trPr>
          <w:trHeight w:val="29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Federal net operating loss carryforwards</w:t>
            </w:r>
          </w:p>
        </w:tc>
        <w:tc>
          <w:tcPr>
            <w:tcW w:w="360" w:type="dxa"/>
            <w:vAlign w:val="bottom"/>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D4EFF3"/>
          </w:tcPr>
          <w:p>
            <w:pPr>
              <w:jc w:val="right"/>
              <w:ind w:right="4"/>
              <w:spacing w:after="0"/>
              <w:rPr>
                <w:sz w:val="20"/>
                <w:szCs w:val="20"/>
                <w:color w:val="auto"/>
              </w:rPr>
            </w:pPr>
            <w:r>
              <w:rPr>
                <w:rFonts w:ascii="Arial" w:cs="Arial" w:eastAsia="Arial" w:hAnsi="Arial"/>
                <w:sz w:val="20"/>
                <w:szCs w:val="20"/>
                <w:color w:val="auto"/>
              </w:rPr>
              <w:t>42,075</w:t>
            </w:r>
          </w:p>
        </w:tc>
        <w:tc>
          <w:tcPr>
            <w:tcW w:w="420" w:type="dxa"/>
            <w:vAlign w:val="bottom"/>
            <w:gridSpan w:val="2"/>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D4EFF3"/>
          </w:tcPr>
          <w:p>
            <w:pPr>
              <w:jc w:val="right"/>
              <w:ind w:right="22"/>
              <w:spacing w:after="0"/>
              <w:rPr>
                <w:sz w:val="20"/>
                <w:szCs w:val="20"/>
                <w:color w:val="auto"/>
              </w:rPr>
            </w:pPr>
            <w:r>
              <w:rPr>
                <w:rFonts w:ascii="Arial" w:cs="Arial" w:eastAsia="Arial" w:hAnsi="Arial"/>
                <w:sz w:val="20"/>
                <w:szCs w:val="20"/>
                <w:color w:val="auto"/>
              </w:rPr>
              <w:t>16,775</w:t>
            </w:r>
          </w:p>
        </w:tc>
      </w:tr>
      <w:tr>
        <w:trPr>
          <w:trHeight w:val="279"/>
        </w:trPr>
        <w:tc>
          <w:tcPr>
            <w:tcW w:w="4280" w:type="dxa"/>
            <w:vAlign w:val="bottom"/>
          </w:tcPr>
          <w:p>
            <w:pPr>
              <w:ind w:left="40"/>
              <w:spacing w:after="0"/>
              <w:rPr>
                <w:sz w:val="20"/>
                <w:szCs w:val="20"/>
                <w:color w:val="auto"/>
              </w:rPr>
            </w:pPr>
            <w:r>
              <w:rPr>
                <w:rFonts w:ascii="Arial" w:cs="Arial" w:eastAsia="Arial" w:hAnsi="Arial"/>
                <w:sz w:val="20"/>
                <w:szCs w:val="20"/>
                <w:color w:val="auto"/>
              </w:rPr>
              <w:t>State net operating loss carryforwards</w:t>
            </w:r>
          </w:p>
        </w:tc>
        <w:tc>
          <w:tcPr>
            <w:tcW w:w="3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13,063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5,063</w:t>
            </w:r>
          </w:p>
        </w:tc>
      </w:tr>
      <w:tr>
        <w:trPr>
          <w:trHeight w:val="29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Research and development credits</w:t>
            </w: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4"/>
              <w:spacing w:after="0"/>
              <w:rPr>
                <w:sz w:val="20"/>
                <w:szCs w:val="20"/>
                <w:color w:val="auto"/>
              </w:rPr>
            </w:pPr>
            <w:r>
              <w:rPr>
                <w:rFonts w:ascii="Arial" w:cs="Arial" w:eastAsia="Arial" w:hAnsi="Arial"/>
                <w:sz w:val="20"/>
                <w:szCs w:val="20"/>
                <w:color w:val="auto"/>
              </w:rPr>
              <w:t>11,297</w:t>
            </w:r>
          </w:p>
        </w:tc>
        <w:tc>
          <w:tcPr>
            <w:tcW w:w="6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22"/>
              <w:spacing w:after="0"/>
              <w:rPr>
                <w:sz w:val="20"/>
                <w:szCs w:val="20"/>
                <w:color w:val="auto"/>
              </w:rPr>
            </w:pPr>
            <w:r>
              <w:rPr>
                <w:rFonts w:ascii="Arial" w:cs="Arial" w:eastAsia="Arial" w:hAnsi="Arial"/>
                <w:sz w:val="20"/>
                <w:szCs w:val="20"/>
                <w:color w:val="auto"/>
              </w:rPr>
              <w:t>9,252</w:t>
            </w:r>
          </w:p>
        </w:tc>
      </w:tr>
      <w:tr>
        <w:trPr>
          <w:trHeight w:val="279"/>
        </w:trPr>
        <w:tc>
          <w:tcPr>
            <w:tcW w:w="4280" w:type="dxa"/>
            <w:vAlign w:val="bottom"/>
          </w:tcPr>
          <w:p>
            <w:pPr>
              <w:ind w:left="40"/>
              <w:spacing w:after="0"/>
              <w:rPr>
                <w:sz w:val="20"/>
                <w:szCs w:val="20"/>
                <w:color w:val="auto"/>
              </w:rPr>
            </w:pPr>
            <w:r>
              <w:rPr>
                <w:rFonts w:ascii="Arial" w:cs="Arial" w:eastAsia="Arial" w:hAnsi="Arial"/>
                <w:sz w:val="20"/>
                <w:szCs w:val="20"/>
                <w:color w:val="auto"/>
              </w:rPr>
              <w:t>Section 174 Capitalization</w:t>
            </w:r>
          </w:p>
        </w:tc>
        <w:tc>
          <w:tcPr>
            <w:tcW w:w="3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6,015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22,724</w:t>
            </w:r>
          </w:p>
        </w:tc>
      </w:tr>
      <w:tr>
        <w:trPr>
          <w:trHeight w:val="29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Share-based compensation</w:t>
            </w: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4"/>
              <w:spacing w:after="0"/>
              <w:rPr>
                <w:sz w:val="20"/>
                <w:szCs w:val="20"/>
                <w:color w:val="auto"/>
              </w:rPr>
            </w:pPr>
            <w:r>
              <w:rPr>
                <w:rFonts w:ascii="Arial" w:cs="Arial" w:eastAsia="Arial" w:hAnsi="Arial"/>
                <w:sz w:val="20"/>
                <w:szCs w:val="20"/>
                <w:color w:val="auto"/>
              </w:rPr>
              <w:t>5,001</w:t>
            </w:r>
          </w:p>
        </w:tc>
        <w:tc>
          <w:tcPr>
            <w:tcW w:w="6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22"/>
              <w:spacing w:after="0"/>
              <w:rPr>
                <w:sz w:val="20"/>
                <w:szCs w:val="20"/>
                <w:color w:val="auto"/>
              </w:rPr>
            </w:pPr>
            <w:r>
              <w:rPr>
                <w:rFonts w:ascii="Arial" w:cs="Arial" w:eastAsia="Arial" w:hAnsi="Arial"/>
                <w:sz w:val="20"/>
                <w:szCs w:val="20"/>
                <w:color w:val="auto"/>
              </w:rPr>
              <w:t>3,922</w:t>
            </w:r>
          </w:p>
        </w:tc>
      </w:tr>
      <w:tr>
        <w:trPr>
          <w:trHeight w:val="279"/>
        </w:trPr>
        <w:tc>
          <w:tcPr>
            <w:tcW w:w="4280" w:type="dxa"/>
            <w:vAlign w:val="bottom"/>
          </w:tcPr>
          <w:p>
            <w:pPr>
              <w:ind w:left="40"/>
              <w:spacing w:after="0"/>
              <w:rPr>
                <w:sz w:val="20"/>
                <w:szCs w:val="20"/>
                <w:color w:val="auto"/>
              </w:rPr>
            </w:pPr>
            <w:r>
              <w:rPr>
                <w:rFonts w:ascii="Arial" w:cs="Arial" w:eastAsia="Arial" w:hAnsi="Arial"/>
                <w:sz w:val="20"/>
                <w:szCs w:val="20"/>
                <w:color w:val="auto"/>
              </w:rPr>
              <w:t>Lease liabilities</w:t>
            </w:r>
          </w:p>
        </w:tc>
        <w:tc>
          <w:tcPr>
            <w:tcW w:w="3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20"/>
                <w:szCs w:val="20"/>
                <w:color w:val="auto"/>
              </w:rPr>
              <w:t>2,685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1,812</w:t>
            </w:r>
          </w:p>
        </w:tc>
      </w:tr>
      <w:tr>
        <w:trPr>
          <w:trHeight w:val="29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Capitalized licensing fees</w:t>
            </w: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4"/>
              <w:spacing w:after="0"/>
              <w:rPr>
                <w:sz w:val="20"/>
                <w:szCs w:val="20"/>
                <w:color w:val="auto"/>
              </w:rPr>
            </w:pPr>
            <w:r>
              <w:rPr>
                <w:rFonts w:ascii="Arial" w:cs="Arial" w:eastAsia="Arial" w:hAnsi="Arial"/>
                <w:sz w:val="20"/>
                <w:szCs w:val="20"/>
                <w:color w:val="auto"/>
              </w:rPr>
              <w:t>1,266</w:t>
            </w:r>
          </w:p>
        </w:tc>
        <w:tc>
          <w:tcPr>
            <w:tcW w:w="6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22"/>
              <w:spacing w:after="0"/>
              <w:rPr>
                <w:sz w:val="20"/>
                <w:szCs w:val="20"/>
                <w:color w:val="auto"/>
              </w:rPr>
            </w:pPr>
            <w:r>
              <w:rPr>
                <w:rFonts w:ascii="Arial" w:cs="Arial" w:eastAsia="Arial" w:hAnsi="Arial"/>
                <w:sz w:val="20"/>
                <w:szCs w:val="20"/>
                <w:color w:val="auto"/>
              </w:rPr>
              <w:t>1,375</w:t>
            </w:r>
          </w:p>
        </w:tc>
      </w:tr>
      <w:tr>
        <w:trPr>
          <w:trHeight w:val="269"/>
        </w:trPr>
        <w:tc>
          <w:tcPr>
            <w:tcW w:w="4280" w:type="dxa"/>
            <w:vAlign w:val="bottom"/>
            <w:tcBorders>
              <w:bottom w:val="single" w:sz="8" w:color="D4EFF3"/>
            </w:tcBorders>
          </w:tcPr>
          <w:p>
            <w:pPr>
              <w:ind w:left="4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406</w:t>
            </w:r>
          </w:p>
        </w:tc>
        <w:tc>
          <w:tcPr>
            <w:tcW w:w="60" w:type="dxa"/>
            <w:vAlign w:val="bottom"/>
            <w:tcBorders>
              <w:bottom w:val="single" w:sz="8" w:color="D4EFF3"/>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494</w:t>
            </w:r>
          </w:p>
        </w:tc>
      </w:tr>
      <w:tr>
        <w:trPr>
          <w:trHeight w:val="28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Subtotal</w:t>
            </w: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4"/>
              <w:spacing w:after="0"/>
              <w:rPr>
                <w:sz w:val="20"/>
                <w:szCs w:val="20"/>
                <w:color w:val="auto"/>
              </w:rPr>
            </w:pPr>
            <w:r>
              <w:rPr>
                <w:rFonts w:ascii="Arial" w:cs="Arial" w:eastAsia="Arial" w:hAnsi="Arial"/>
                <w:sz w:val="20"/>
                <w:szCs w:val="20"/>
                <w:color w:val="auto"/>
              </w:rPr>
              <w:t>81,808</w:t>
            </w:r>
          </w:p>
        </w:tc>
        <w:tc>
          <w:tcPr>
            <w:tcW w:w="6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22"/>
              <w:spacing w:after="0"/>
              <w:rPr>
                <w:sz w:val="20"/>
                <w:szCs w:val="20"/>
                <w:color w:val="auto"/>
              </w:rPr>
            </w:pPr>
            <w:r>
              <w:rPr>
                <w:rFonts w:ascii="Arial" w:cs="Arial" w:eastAsia="Arial" w:hAnsi="Arial"/>
                <w:sz w:val="20"/>
                <w:szCs w:val="20"/>
                <w:color w:val="auto"/>
              </w:rPr>
              <w:t>61,417</w:t>
            </w:r>
          </w:p>
        </w:tc>
      </w:tr>
      <w:tr>
        <w:trPr>
          <w:trHeight w:val="269"/>
        </w:trPr>
        <w:tc>
          <w:tcPr>
            <w:tcW w:w="4280" w:type="dxa"/>
            <w:vAlign w:val="bottom"/>
            <w:tcBorders>
              <w:bottom w:val="single" w:sz="8" w:color="D4EFF3"/>
            </w:tcBorders>
          </w:tcPr>
          <w:p>
            <w:pPr>
              <w:ind w:left="40"/>
              <w:spacing w:after="0"/>
              <w:rPr>
                <w:sz w:val="20"/>
                <w:szCs w:val="20"/>
                <w:color w:val="auto"/>
              </w:rPr>
            </w:pPr>
            <w:r>
              <w:rPr>
                <w:rFonts w:ascii="Arial" w:cs="Arial" w:eastAsia="Arial" w:hAnsi="Arial"/>
                <w:sz w:val="20"/>
                <w:szCs w:val="20"/>
                <w:color w:val="auto"/>
              </w:rPr>
              <w:t>Less valuation allowance</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(79,245)</w:t>
            </w:r>
          </w:p>
        </w:tc>
        <w:tc>
          <w:tcPr>
            <w:tcW w:w="60" w:type="dxa"/>
            <w:vAlign w:val="bottom"/>
            <w:tcBorders>
              <w:bottom w:val="single" w:sz="8" w:color="D4EFF3"/>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(59,521)</w:t>
            </w:r>
          </w:p>
        </w:tc>
      </w:tr>
      <w:tr>
        <w:trPr>
          <w:trHeight w:val="28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Deferred tax assets, net of valuation allowance</w:t>
            </w: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4"/>
              <w:spacing w:after="0"/>
              <w:rPr>
                <w:sz w:val="20"/>
                <w:szCs w:val="20"/>
                <w:color w:val="auto"/>
              </w:rPr>
            </w:pPr>
            <w:r>
              <w:rPr>
                <w:rFonts w:ascii="Arial" w:cs="Arial" w:eastAsia="Arial" w:hAnsi="Arial"/>
                <w:sz w:val="20"/>
                <w:szCs w:val="20"/>
                <w:color w:val="auto"/>
              </w:rPr>
              <w:t>2,563</w:t>
            </w:r>
          </w:p>
        </w:tc>
        <w:tc>
          <w:tcPr>
            <w:tcW w:w="6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ind w:right="22"/>
              <w:spacing w:after="0"/>
              <w:rPr>
                <w:sz w:val="20"/>
                <w:szCs w:val="20"/>
                <w:color w:val="auto"/>
              </w:rPr>
            </w:pPr>
            <w:r>
              <w:rPr>
                <w:rFonts w:ascii="Arial" w:cs="Arial" w:eastAsia="Arial" w:hAnsi="Arial"/>
                <w:sz w:val="20"/>
                <w:szCs w:val="20"/>
                <w:color w:val="auto"/>
              </w:rPr>
              <w:t>1,896</w:t>
            </w:r>
          </w:p>
        </w:tc>
      </w:tr>
      <w:tr>
        <w:trPr>
          <w:trHeight w:val="449"/>
        </w:trPr>
        <w:tc>
          <w:tcPr>
            <w:tcW w:w="4280" w:type="dxa"/>
            <w:vAlign w:val="bottom"/>
          </w:tcPr>
          <w:p>
            <w:pPr>
              <w:ind w:left="40"/>
              <w:spacing w:after="0"/>
              <w:rPr>
                <w:sz w:val="20"/>
                <w:szCs w:val="20"/>
                <w:color w:val="auto"/>
              </w:rPr>
            </w:pPr>
            <w:r>
              <w:rPr>
                <w:rFonts w:ascii="Arial" w:cs="Arial" w:eastAsia="Arial" w:hAnsi="Arial"/>
                <w:sz w:val="20"/>
                <w:szCs w:val="20"/>
                <w:b w:val="1"/>
                <w:bCs w:val="1"/>
                <w:color w:val="auto"/>
              </w:rPr>
              <w:t>Deferred tax liabilities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9"/>
        </w:trPr>
        <w:tc>
          <w:tcPr>
            <w:tcW w:w="4280" w:type="dxa"/>
            <w:vAlign w:val="bottom"/>
            <w:shd w:val="clear" w:color="auto" w:fill="D4EFF3"/>
          </w:tcPr>
          <w:p>
            <w:pPr>
              <w:ind w:left="40"/>
              <w:spacing w:after="0"/>
              <w:rPr>
                <w:sz w:val="20"/>
                <w:szCs w:val="20"/>
                <w:color w:val="auto"/>
              </w:rPr>
            </w:pPr>
            <w:r>
              <w:rPr>
                <w:rFonts w:ascii="Arial" w:cs="Arial" w:eastAsia="Arial" w:hAnsi="Arial"/>
                <w:sz w:val="20"/>
                <w:szCs w:val="20"/>
                <w:color w:val="auto"/>
              </w:rPr>
              <w:t>Right-of-use assets</w:t>
            </w: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spacing w:after="0"/>
              <w:rPr>
                <w:sz w:val="20"/>
                <w:szCs w:val="20"/>
                <w:color w:val="auto"/>
              </w:rPr>
            </w:pPr>
            <w:r>
              <w:rPr>
                <w:rFonts w:ascii="Arial" w:cs="Arial" w:eastAsia="Arial" w:hAnsi="Arial"/>
                <w:sz w:val="20"/>
                <w:szCs w:val="20"/>
                <w:color w:val="auto"/>
              </w:rPr>
              <w:t>(2,486)</w:t>
            </w:r>
          </w:p>
        </w:tc>
        <w:tc>
          <w:tcPr>
            <w:tcW w:w="60" w:type="dxa"/>
            <w:vAlign w:val="bottom"/>
            <w:shd w:val="clear" w:color="auto" w:fill="D4EFF3"/>
          </w:tcPr>
          <w:p>
            <w:pPr>
              <w:spacing w:after="0"/>
              <w:rPr>
                <w:sz w:val="24"/>
                <w:szCs w:val="24"/>
                <w:color w:val="auto"/>
              </w:rPr>
            </w:pPr>
          </w:p>
        </w:tc>
        <w:tc>
          <w:tcPr>
            <w:tcW w:w="360" w:type="dxa"/>
            <w:vAlign w:val="bottom"/>
            <w:shd w:val="clear" w:color="auto" w:fill="D4EFF3"/>
          </w:tcPr>
          <w:p>
            <w:pPr>
              <w:spacing w:after="0"/>
              <w:rPr>
                <w:sz w:val="24"/>
                <w:szCs w:val="24"/>
                <w:color w:val="auto"/>
              </w:rPr>
            </w:pPr>
          </w:p>
        </w:tc>
        <w:tc>
          <w:tcPr>
            <w:tcW w:w="920" w:type="dxa"/>
            <w:vAlign w:val="bottom"/>
            <w:shd w:val="clear" w:color="auto" w:fill="D4EFF3"/>
          </w:tcPr>
          <w:p>
            <w:pPr>
              <w:jc w:val="right"/>
              <w:spacing w:after="0"/>
              <w:rPr>
                <w:sz w:val="20"/>
                <w:szCs w:val="20"/>
                <w:color w:val="auto"/>
              </w:rPr>
            </w:pPr>
            <w:r>
              <w:rPr>
                <w:rFonts w:ascii="Arial" w:cs="Arial" w:eastAsia="Arial" w:hAnsi="Arial"/>
                <w:sz w:val="20"/>
                <w:szCs w:val="20"/>
                <w:color w:val="auto"/>
              </w:rPr>
              <w:t>(1,839)</w:t>
            </w:r>
          </w:p>
        </w:tc>
      </w:tr>
      <w:tr>
        <w:trPr>
          <w:trHeight w:val="269"/>
        </w:trPr>
        <w:tc>
          <w:tcPr>
            <w:tcW w:w="4280" w:type="dxa"/>
            <w:vAlign w:val="bottom"/>
            <w:tcBorders>
              <w:bottom w:val="single" w:sz="8" w:color="D4EFF3"/>
            </w:tcBorders>
          </w:tcPr>
          <w:p>
            <w:pPr>
              <w:ind w:left="4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w:t>
            </w:r>
          </w:p>
        </w:tc>
        <w:tc>
          <w:tcPr>
            <w:tcW w:w="60" w:type="dxa"/>
            <w:vAlign w:val="bottom"/>
            <w:tcBorders>
              <w:bottom w:val="single" w:sz="8" w:color="D4EFF3"/>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r>
      <w:tr>
        <w:trPr>
          <w:trHeight w:val="289"/>
        </w:trPr>
        <w:tc>
          <w:tcPr>
            <w:tcW w:w="428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20"/>
                <w:szCs w:val="20"/>
                <w:color w:val="auto"/>
              </w:rPr>
              <w:t>Net deferred tax assets</w:t>
            </w:r>
          </w:p>
        </w:tc>
        <w:tc>
          <w:tcPr>
            <w:tcW w:w="360" w:type="dxa"/>
            <w:vAlign w:val="bottom"/>
            <w:tcBorders>
              <w:bottom w:val="single" w:sz="8" w:color="auto"/>
            </w:tcBorders>
            <w:shd w:val="clear" w:color="auto" w:fill="D4EFF3"/>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D4EFF3"/>
          </w:tcPr>
          <w:p>
            <w:pPr>
              <w:jc w:val="right"/>
              <w:ind w:right="4"/>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4EFF3"/>
            </w:tcBorders>
            <w:shd w:val="clear" w:color="auto" w:fill="D4EFF3"/>
          </w:tcPr>
          <w:p>
            <w:pPr>
              <w:spacing w:after="0"/>
              <w:rPr>
                <w:sz w:val="24"/>
                <w:szCs w:val="24"/>
                <w:color w:val="auto"/>
              </w:rPr>
            </w:pPr>
          </w:p>
        </w:tc>
        <w:tc>
          <w:tcPr>
            <w:tcW w:w="360" w:type="dxa"/>
            <w:vAlign w:val="bottom"/>
            <w:tcBorders>
              <w:bottom w:val="single" w:sz="8" w:color="auto"/>
            </w:tcBorders>
            <w:shd w:val="clear" w:color="auto" w:fill="D4EFF3"/>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D4EFF3"/>
          </w:tcPr>
          <w:p>
            <w:pPr>
              <w:jc w:val="right"/>
              <w:ind w:right="22"/>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4832350</wp:posOffset>
                </wp:positionH>
                <wp:positionV relativeFrom="paragraph">
                  <wp:posOffset>-208915</wp:posOffset>
                </wp:positionV>
                <wp:extent cx="0" cy="127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00"/>
                        </a:xfrm>
                        <a:prstGeom prst="line">
                          <a:avLst/>
                        </a:prstGeom>
                        <a:solidFill>
                          <a:srgbClr val="FFFFFF"/>
                        </a:solidFill>
                        <a:ln w="2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5pt,-16.4499pt" to="380.5pt,-15.4499pt" o:allowincell="f" strokecolor="#000000" strokeweight="0.002pt"/>
            </w:pict>
          </mc:Fallback>
        </mc:AlternateContent>
      </w:r>
    </w:p>
    <w:p>
      <w:pPr>
        <w:spacing w:after="0" w:line="198" w:lineRule="exact"/>
        <w:rPr>
          <w:sz w:val="20"/>
          <w:szCs w:val="20"/>
          <w:color w:val="auto"/>
        </w:rPr>
      </w:pPr>
    </w:p>
    <w:p>
      <w:pPr>
        <w:ind w:left="580" w:hanging="580"/>
        <w:spacing w:after="0"/>
        <w:tabs>
          <w:tab w:leader="none" w:pos="58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Segment Information</w:t>
      </w:r>
    </w:p>
    <w:p>
      <w:pPr>
        <w:spacing w:after="0" w:line="278" w:lineRule="exact"/>
        <w:rPr>
          <w:rFonts w:ascii="Arial" w:cs="Arial" w:eastAsia="Arial" w:hAnsi="Arial"/>
          <w:sz w:val="20"/>
          <w:szCs w:val="20"/>
          <w:b w:val="1"/>
          <w:bCs w:val="1"/>
          <w:color w:val="auto"/>
        </w:rPr>
      </w:pPr>
    </w:p>
    <w:p>
      <w:pPr>
        <w:ind w:left="58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Segment reporting is prepared on the same basis that our chief executive officer, who is our CODM, manages the business, makes operating decisions and assesses performance. The Company operates in one segment. The Company’s business is research and development of drug candidates. Costs, including supplies, outsourced development, and other research and development costs are tracked by major program. While internal personnel costs are tracked by program for overall program spending, it is not broken out for management review. Facility and equipment costs are not allocated to programs. Research and development expenses are summarized by program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2240" w:h="15840" w:orient="portrait"/>
          <w:cols w:equalWidth="0" w:num="1">
            <w:col w:w="9360"/>
          </w:cols>
          <w:pgMar w:left="1440" w:top="1420" w:right="1440" w:bottom="393" w:gutter="0" w:footer="0" w:header="0"/>
        </w:sectPr>
      </w:pPr>
    </w:p>
    <w:bookmarkStart w:id="126" w:name="page127"/>
    <w:bookmarkEnd w:id="126"/>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30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2024</w:t>
            </w:r>
          </w:p>
        </w:tc>
      </w:tr>
      <w:tr>
        <w:trPr>
          <w:trHeight w:val="209"/>
        </w:trPr>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3"/>
          </w:tcPr>
          <w:p>
            <w:pPr>
              <w:jc w:val="right"/>
              <w:ind w:right="163"/>
              <w:spacing w:after="0"/>
              <w:rPr>
                <w:sz w:val="20"/>
                <w:szCs w:val="20"/>
                <w:color w:val="auto"/>
              </w:rPr>
            </w:pPr>
            <w:r>
              <w:rPr>
                <w:rFonts w:ascii="Arial" w:cs="Arial" w:eastAsia="Arial" w:hAnsi="Arial"/>
                <w:sz w:val="16"/>
                <w:szCs w:val="16"/>
                <w:b w:val="1"/>
                <w:bCs w:val="1"/>
                <w:color w:val="auto"/>
              </w:rPr>
              <w:t>(000's)</w:t>
            </w:r>
          </w:p>
        </w:tc>
        <w:tc>
          <w:tcPr>
            <w:tcW w:w="1200" w:type="dxa"/>
            <w:vAlign w:val="bottom"/>
          </w:tcPr>
          <w:p>
            <w:pPr>
              <w:spacing w:after="0"/>
              <w:rPr>
                <w:sz w:val="18"/>
                <w:szCs w:val="18"/>
                <w:color w:val="auto"/>
              </w:rPr>
            </w:pPr>
          </w:p>
        </w:tc>
      </w:tr>
      <w:tr>
        <w:trPr>
          <w:trHeight w:val="314"/>
        </w:trPr>
        <w:tc>
          <w:tcPr>
            <w:tcW w:w="3000" w:type="dxa"/>
            <w:vAlign w:val="bottom"/>
            <w:shd w:val="clear" w:color="auto" w:fill="D4EFF3"/>
          </w:tcPr>
          <w:p>
            <w:pPr>
              <w:ind w:left="40"/>
              <w:spacing w:after="0"/>
              <w:rPr>
                <w:sz w:val="20"/>
                <w:szCs w:val="20"/>
                <w:color w:val="auto"/>
              </w:rPr>
            </w:pPr>
            <w:r>
              <w:rPr>
                <w:rFonts w:ascii="Arial" w:cs="Arial" w:eastAsia="Arial" w:hAnsi="Arial"/>
                <w:sz w:val="19"/>
                <w:szCs w:val="19"/>
                <w:color w:val="auto"/>
              </w:rPr>
              <w:t>Licensing revenue</w:t>
            </w:r>
          </w:p>
        </w:tc>
        <w:tc>
          <w:tcPr>
            <w:tcW w:w="440" w:type="dxa"/>
            <w:vAlign w:val="bottom"/>
            <w:shd w:val="clear" w:color="auto" w:fill="D4EFF3"/>
          </w:tcPr>
          <w:p>
            <w:pPr>
              <w:jc w:val="right"/>
              <w:ind w:right="123"/>
              <w:spacing w:after="0"/>
              <w:rPr>
                <w:sz w:val="20"/>
                <w:szCs w:val="20"/>
                <w:color w:val="auto"/>
              </w:rPr>
            </w:pPr>
            <w:r>
              <w:rPr>
                <w:rFonts w:ascii="Arial" w:cs="Arial" w:eastAsia="Arial" w:hAnsi="Arial"/>
                <w:sz w:val="19"/>
                <w:szCs w:val="19"/>
                <w:color w:val="auto"/>
              </w:rPr>
              <w:t>$</w:t>
            </w:r>
          </w:p>
        </w:tc>
        <w:tc>
          <w:tcPr>
            <w:tcW w:w="120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D4EFF3"/>
          </w:tcPr>
          <w:p>
            <w:pPr>
              <w:jc w:val="right"/>
              <w:ind w:right="143"/>
              <w:spacing w:after="0"/>
              <w:rPr>
                <w:sz w:val="20"/>
                <w:szCs w:val="20"/>
                <w:color w:val="auto"/>
              </w:rPr>
            </w:pPr>
            <w:r>
              <w:rPr>
                <w:rFonts w:ascii="Arial" w:cs="Arial" w:eastAsia="Arial" w:hAnsi="Arial"/>
                <w:sz w:val="19"/>
                <w:szCs w:val="19"/>
                <w:color w:val="auto"/>
              </w:rPr>
              <w:t>$</w:t>
            </w:r>
          </w:p>
        </w:tc>
        <w:tc>
          <w:tcPr>
            <w:tcW w:w="1200" w:type="dxa"/>
            <w:vAlign w:val="bottom"/>
            <w:shd w:val="clear" w:color="auto" w:fill="D4EFF3"/>
          </w:tcPr>
          <w:p>
            <w:pPr>
              <w:jc w:val="right"/>
              <w:ind w:right="4"/>
              <w:spacing w:after="0"/>
              <w:rPr>
                <w:sz w:val="20"/>
                <w:szCs w:val="20"/>
                <w:color w:val="auto"/>
              </w:rPr>
            </w:pPr>
            <w:r>
              <w:rPr>
                <w:rFonts w:ascii="Arial" w:cs="Arial" w:eastAsia="Arial" w:hAnsi="Arial"/>
                <w:sz w:val="19"/>
                <w:szCs w:val="19"/>
                <w:color w:val="auto"/>
              </w:rPr>
              <w:t>850</w:t>
            </w:r>
          </w:p>
        </w:tc>
      </w:tr>
      <w:tr>
        <w:trPr>
          <w:trHeight w:val="239"/>
        </w:trPr>
        <w:tc>
          <w:tcPr>
            <w:tcW w:w="3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3000" w:type="dxa"/>
            <w:vAlign w:val="bottom"/>
            <w:shd w:val="clear" w:color="auto" w:fill="D4EFF3"/>
          </w:tcPr>
          <w:p>
            <w:pPr>
              <w:ind w:left="40"/>
              <w:spacing w:after="0"/>
              <w:rPr>
                <w:sz w:val="20"/>
                <w:szCs w:val="20"/>
                <w:color w:val="auto"/>
              </w:rPr>
            </w:pPr>
            <w:r>
              <w:rPr>
                <w:rFonts w:ascii="Arial" w:cs="Arial" w:eastAsia="Arial" w:hAnsi="Arial"/>
                <w:sz w:val="19"/>
                <w:szCs w:val="19"/>
                <w:color w:val="auto"/>
              </w:rPr>
              <w:t>Personnel</w:t>
            </w:r>
          </w:p>
        </w:tc>
        <w:tc>
          <w:tcPr>
            <w:tcW w:w="440" w:type="dxa"/>
            <w:vAlign w:val="bottom"/>
            <w:shd w:val="clear" w:color="auto" w:fill="D4EFF3"/>
          </w:tcPr>
          <w:p>
            <w:pPr>
              <w:spacing w:after="0"/>
              <w:rPr>
                <w:sz w:val="23"/>
                <w:szCs w:val="23"/>
                <w:color w:val="auto"/>
              </w:rPr>
            </w:pPr>
          </w:p>
        </w:tc>
        <w:tc>
          <w:tcPr>
            <w:tcW w:w="120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11,935</w:t>
            </w:r>
          </w:p>
        </w:tc>
        <w:tc>
          <w:tcPr>
            <w:tcW w:w="160" w:type="dxa"/>
            <w:vAlign w:val="bottom"/>
            <w:shd w:val="clear" w:color="auto" w:fill="D4EFF3"/>
          </w:tcPr>
          <w:p>
            <w:pPr>
              <w:spacing w:after="0"/>
              <w:rPr>
                <w:sz w:val="23"/>
                <w:szCs w:val="23"/>
                <w:color w:val="auto"/>
              </w:rPr>
            </w:pPr>
          </w:p>
        </w:tc>
        <w:tc>
          <w:tcPr>
            <w:tcW w:w="440" w:type="dxa"/>
            <w:vAlign w:val="bottom"/>
            <w:shd w:val="clear" w:color="auto" w:fill="D4EFF3"/>
          </w:tcPr>
          <w:p>
            <w:pPr>
              <w:spacing w:after="0"/>
              <w:rPr>
                <w:sz w:val="23"/>
                <w:szCs w:val="23"/>
                <w:color w:val="auto"/>
              </w:rPr>
            </w:pPr>
          </w:p>
        </w:tc>
        <w:tc>
          <w:tcPr>
            <w:tcW w:w="1200" w:type="dxa"/>
            <w:vAlign w:val="bottom"/>
            <w:shd w:val="clear" w:color="auto" w:fill="D4EFF3"/>
          </w:tcPr>
          <w:p>
            <w:pPr>
              <w:jc w:val="right"/>
              <w:ind w:right="4"/>
              <w:spacing w:after="0"/>
              <w:rPr>
                <w:sz w:val="20"/>
                <w:szCs w:val="20"/>
                <w:color w:val="auto"/>
              </w:rPr>
            </w:pPr>
            <w:r>
              <w:rPr>
                <w:rFonts w:ascii="Arial" w:cs="Arial" w:eastAsia="Arial" w:hAnsi="Arial"/>
                <w:sz w:val="19"/>
                <w:szCs w:val="19"/>
                <w:color w:val="auto"/>
              </w:rPr>
              <w:t>9,918</w:t>
            </w:r>
          </w:p>
        </w:tc>
      </w:tr>
      <w:tr>
        <w:trPr>
          <w:trHeight w:val="239"/>
        </w:trPr>
        <w:tc>
          <w:tcPr>
            <w:tcW w:w="3000" w:type="dxa"/>
            <w:vAlign w:val="bottom"/>
          </w:tcPr>
          <w:p>
            <w:pPr>
              <w:ind w:left="40"/>
              <w:spacing w:after="0"/>
              <w:rPr>
                <w:sz w:val="20"/>
                <w:szCs w:val="20"/>
                <w:color w:val="auto"/>
              </w:rPr>
            </w:pPr>
            <w:r>
              <w:rPr>
                <w:rFonts w:ascii="Arial" w:cs="Arial" w:eastAsia="Arial" w:hAnsi="Arial"/>
                <w:sz w:val="19"/>
                <w:szCs w:val="19"/>
                <w:color w:val="auto"/>
              </w:rPr>
              <w:t>General</w:t>
            </w:r>
          </w:p>
        </w:tc>
        <w:tc>
          <w:tcPr>
            <w:tcW w:w="440" w:type="dxa"/>
            <w:vAlign w:val="bottom"/>
          </w:tcPr>
          <w:p>
            <w:pPr>
              <w:spacing w:after="0"/>
              <w:rPr>
                <w:sz w:val="20"/>
                <w:szCs w:val="20"/>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4,616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9"/>
                <w:szCs w:val="19"/>
                <w:color w:val="auto"/>
              </w:rPr>
              <w:t>3,965</w:t>
            </w:r>
          </w:p>
        </w:tc>
      </w:tr>
      <w:tr>
        <w:trPr>
          <w:trHeight w:val="269"/>
        </w:trPr>
        <w:tc>
          <w:tcPr>
            <w:tcW w:w="3000" w:type="dxa"/>
            <w:vAlign w:val="bottom"/>
            <w:shd w:val="clear" w:color="auto" w:fill="D4EFF3"/>
          </w:tcPr>
          <w:p>
            <w:pPr>
              <w:ind w:left="40"/>
              <w:spacing w:after="0"/>
              <w:rPr>
                <w:sz w:val="20"/>
                <w:szCs w:val="20"/>
                <w:color w:val="auto"/>
              </w:rPr>
            </w:pPr>
            <w:r>
              <w:rPr>
                <w:rFonts w:ascii="Arial" w:cs="Arial" w:eastAsia="Arial" w:hAnsi="Arial"/>
                <w:sz w:val="19"/>
                <w:szCs w:val="19"/>
                <w:color w:val="auto"/>
              </w:rPr>
              <w:t>Tovecimig</w:t>
            </w:r>
          </w:p>
        </w:tc>
        <w:tc>
          <w:tcPr>
            <w:tcW w:w="440" w:type="dxa"/>
            <w:vAlign w:val="bottom"/>
            <w:shd w:val="clear" w:color="auto" w:fill="D4EFF3"/>
          </w:tcPr>
          <w:p>
            <w:pPr>
              <w:spacing w:after="0"/>
              <w:rPr>
                <w:sz w:val="23"/>
                <w:szCs w:val="23"/>
                <w:color w:val="auto"/>
              </w:rPr>
            </w:pPr>
          </w:p>
        </w:tc>
        <w:tc>
          <w:tcPr>
            <w:tcW w:w="120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23,680</w:t>
            </w:r>
          </w:p>
        </w:tc>
        <w:tc>
          <w:tcPr>
            <w:tcW w:w="160" w:type="dxa"/>
            <w:vAlign w:val="bottom"/>
            <w:shd w:val="clear" w:color="auto" w:fill="D4EFF3"/>
          </w:tcPr>
          <w:p>
            <w:pPr>
              <w:spacing w:after="0"/>
              <w:rPr>
                <w:sz w:val="23"/>
                <w:szCs w:val="23"/>
                <w:color w:val="auto"/>
              </w:rPr>
            </w:pPr>
          </w:p>
        </w:tc>
        <w:tc>
          <w:tcPr>
            <w:tcW w:w="440" w:type="dxa"/>
            <w:vAlign w:val="bottom"/>
            <w:shd w:val="clear" w:color="auto" w:fill="D4EFF3"/>
          </w:tcPr>
          <w:p>
            <w:pPr>
              <w:spacing w:after="0"/>
              <w:rPr>
                <w:sz w:val="23"/>
                <w:szCs w:val="23"/>
                <w:color w:val="auto"/>
              </w:rPr>
            </w:pPr>
          </w:p>
        </w:tc>
        <w:tc>
          <w:tcPr>
            <w:tcW w:w="1200" w:type="dxa"/>
            <w:vAlign w:val="bottom"/>
            <w:shd w:val="clear" w:color="auto" w:fill="D4EFF3"/>
          </w:tcPr>
          <w:p>
            <w:pPr>
              <w:jc w:val="right"/>
              <w:ind w:right="4"/>
              <w:spacing w:after="0"/>
              <w:rPr>
                <w:sz w:val="20"/>
                <w:szCs w:val="20"/>
                <w:color w:val="auto"/>
              </w:rPr>
            </w:pPr>
            <w:r>
              <w:rPr>
                <w:rFonts w:ascii="Arial" w:cs="Arial" w:eastAsia="Arial" w:hAnsi="Arial"/>
                <w:sz w:val="19"/>
                <w:szCs w:val="19"/>
                <w:color w:val="auto"/>
              </w:rPr>
              <w:t>23,177</w:t>
            </w:r>
          </w:p>
        </w:tc>
      </w:tr>
      <w:tr>
        <w:trPr>
          <w:trHeight w:val="239"/>
        </w:trPr>
        <w:tc>
          <w:tcPr>
            <w:tcW w:w="3000" w:type="dxa"/>
            <w:vAlign w:val="bottom"/>
          </w:tcPr>
          <w:p>
            <w:pPr>
              <w:ind w:left="40"/>
              <w:spacing w:after="0"/>
              <w:rPr>
                <w:sz w:val="20"/>
                <w:szCs w:val="20"/>
                <w:color w:val="auto"/>
              </w:rPr>
            </w:pPr>
            <w:r>
              <w:rPr>
                <w:rFonts w:ascii="Arial" w:cs="Arial" w:eastAsia="Arial" w:hAnsi="Arial"/>
                <w:sz w:val="19"/>
                <w:szCs w:val="19"/>
                <w:color w:val="auto"/>
              </w:rPr>
              <w:t>CTX-471</w:t>
            </w:r>
          </w:p>
        </w:tc>
        <w:tc>
          <w:tcPr>
            <w:tcW w:w="440" w:type="dxa"/>
            <w:vAlign w:val="bottom"/>
          </w:tcPr>
          <w:p>
            <w:pPr>
              <w:spacing w:after="0"/>
              <w:rPr>
                <w:sz w:val="20"/>
                <w:szCs w:val="20"/>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4,183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9"/>
                <w:szCs w:val="19"/>
                <w:color w:val="auto"/>
              </w:rPr>
              <w:t>2,879</w:t>
            </w:r>
          </w:p>
        </w:tc>
      </w:tr>
      <w:tr>
        <w:trPr>
          <w:trHeight w:val="269"/>
        </w:trPr>
        <w:tc>
          <w:tcPr>
            <w:tcW w:w="3000" w:type="dxa"/>
            <w:vAlign w:val="bottom"/>
            <w:shd w:val="clear" w:color="auto" w:fill="D4EFF3"/>
          </w:tcPr>
          <w:p>
            <w:pPr>
              <w:ind w:left="40"/>
              <w:spacing w:after="0"/>
              <w:rPr>
                <w:sz w:val="20"/>
                <w:szCs w:val="20"/>
                <w:color w:val="auto"/>
              </w:rPr>
            </w:pPr>
            <w:r>
              <w:rPr>
                <w:rFonts w:ascii="Arial" w:cs="Arial" w:eastAsia="Arial" w:hAnsi="Arial"/>
                <w:sz w:val="19"/>
                <w:szCs w:val="19"/>
                <w:color w:val="auto"/>
              </w:rPr>
              <w:t>CTX-8371</w:t>
            </w:r>
          </w:p>
        </w:tc>
        <w:tc>
          <w:tcPr>
            <w:tcW w:w="440" w:type="dxa"/>
            <w:vAlign w:val="bottom"/>
            <w:shd w:val="clear" w:color="auto" w:fill="D4EFF3"/>
          </w:tcPr>
          <w:p>
            <w:pPr>
              <w:spacing w:after="0"/>
              <w:rPr>
                <w:sz w:val="23"/>
                <w:szCs w:val="23"/>
                <w:color w:val="auto"/>
              </w:rPr>
            </w:pPr>
          </w:p>
        </w:tc>
        <w:tc>
          <w:tcPr>
            <w:tcW w:w="1200" w:type="dxa"/>
            <w:vAlign w:val="bottom"/>
            <w:shd w:val="clear" w:color="auto" w:fill="D4EFF3"/>
          </w:tcPr>
          <w:p>
            <w:pPr>
              <w:jc w:val="right"/>
              <w:ind w:right="6"/>
              <w:spacing w:after="0"/>
              <w:rPr>
                <w:sz w:val="20"/>
                <w:szCs w:val="20"/>
                <w:color w:val="auto"/>
              </w:rPr>
            </w:pPr>
            <w:r>
              <w:rPr>
                <w:rFonts w:ascii="Arial" w:cs="Arial" w:eastAsia="Arial" w:hAnsi="Arial"/>
                <w:sz w:val="19"/>
                <w:szCs w:val="19"/>
                <w:color w:val="auto"/>
              </w:rPr>
              <w:t>3,355</w:t>
            </w:r>
          </w:p>
        </w:tc>
        <w:tc>
          <w:tcPr>
            <w:tcW w:w="160" w:type="dxa"/>
            <w:vAlign w:val="bottom"/>
            <w:shd w:val="clear" w:color="auto" w:fill="D4EFF3"/>
          </w:tcPr>
          <w:p>
            <w:pPr>
              <w:spacing w:after="0"/>
              <w:rPr>
                <w:sz w:val="23"/>
                <w:szCs w:val="23"/>
                <w:color w:val="auto"/>
              </w:rPr>
            </w:pPr>
          </w:p>
        </w:tc>
        <w:tc>
          <w:tcPr>
            <w:tcW w:w="440" w:type="dxa"/>
            <w:vAlign w:val="bottom"/>
            <w:shd w:val="clear" w:color="auto" w:fill="D4EFF3"/>
          </w:tcPr>
          <w:p>
            <w:pPr>
              <w:spacing w:after="0"/>
              <w:rPr>
                <w:sz w:val="23"/>
                <w:szCs w:val="23"/>
                <w:color w:val="auto"/>
              </w:rPr>
            </w:pPr>
          </w:p>
        </w:tc>
        <w:tc>
          <w:tcPr>
            <w:tcW w:w="1200" w:type="dxa"/>
            <w:vAlign w:val="bottom"/>
            <w:shd w:val="clear" w:color="auto" w:fill="D4EFF3"/>
          </w:tcPr>
          <w:p>
            <w:pPr>
              <w:jc w:val="right"/>
              <w:ind w:right="4"/>
              <w:spacing w:after="0"/>
              <w:rPr>
                <w:sz w:val="20"/>
                <w:szCs w:val="20"/>
                <w:color w:val="auto"/>
              </w:rPr>
            </w:pPr>
            <w:r>
              <w:rPr>
                <w:rFonts w:ascii="Arial" w:cs="Arial" w:eastAsia="Arial" w:hAnsi="Arial"/>
                <w:sz w:val="19"/>
                <w:szCs w:val="19"/>
                <w:color w:val="auto"/>
              </w:rPr>
              <w:t>2,403</w:t>
            </w:r>
          </w:p>
        </w:tc>
      </w:tr>
      <w:tr>
        <w:trPr>
          <w:trHeight w:val="259"/>
        </w:trPr>
        <w:tc>
          <w:tcPr>
            <w:tcW w:w="3000" w:type="dxa"/>
            <w:vAlign w:val="bottom"/>
            <w:tcBorders>
              <w:bottom w:val="single" w:sz="8" w:color="D4EFF3"/>
            </w:tcBorders>
          </w:tcPr>
          <w:p>
            <w:pPr>
              <w:ind w:left="40"/>
              <w:spacing w:after="0"/>
              <w:rPr>
                <w:sz w:val="20"/>
                <w:szCs w:val="20"/>
                <w:color w:val="auto"/>
              </w:rPr>
            </w:pPr>
            <w:r>
              <w:rPr>
                <w:rFonts w:ascii="Arial" w:cs="Arial" w:eastAsia="Arial" w:hAnsi="Arial"/>
                <w:sz w:val="19"/>
                <w:szCs w:val="19"/>
                <w:color w:val="auto"/>
              </w:rPr>
              <w:t>CTX-10726</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8,200</w:t>
            </w:r>
          </w:p>
        </w:tc>
        <w:tc>
          <w:tcPr>
            <w:tcW w:w="160" w:type="dxa"/>
            <w:vAlign w:val="bottom"/>
            <w:tcBorders>
              <w:bottom w:val="single" w:sz="8" w:color="D4EFF3"/>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r>
      <w:tr>
        <w:trPr>
          <w:trHeight w:val="214"/>
        </w:trPr>
        <w:tc>
          <w:tcPr>
            <w:tcW w:w="3000" w:type="dxa"/>
            <w:vAlign w:val="bottom"/>
            <w:tcBorders>
              <w:top w:val="single" w:sz="8" w:color="D4EFF3"/>
              <w:bottom w:val="single" w:sz="8" w:color="D4EFF3"/>
            </w:tcBorders>
            <w:shd w:val="clear" w:color="auto" w:fill="D4EFF3"/>
          </w:tcPr>
          <w:p>
            <w:pPr>
              <w:ind w:left="300"/>
              <w:spacing w:after="0" w:line="209" w:lineRule="exact"/>
              <w:rPr>
                <w:sz w:val="20"/>
                <w:szCs w:val="20"/>
                <w:color w:val="auto"/>
              </w:rPr>
            </w:pPr>
            <w:r>
              <w:rPr>
                <w:rFonts w:ascii="Arial" w:cs="Arial" w:eastAsia="Arial" w:hAnsi="Arial"/>
                <w:sz w:val="19"/>
                <w:szCs w:val="19"/>
                <w:color w:val="auto"/>
              </w:rPr>
              <w:t>Research and development</w:t>
            </w:r>
          </w:p>
        </w:tc>
        <w:tc>
          <w:tcPr>
            <w:tcW w:w="440" w:type="dxa"/>
            <w:vAlign w:val="bottom"/>
            <w:tcBorders>
              <w:top w:val="single" w:sz="8" w:color="auto"/>
              <w:bottom w:val="single" w:sz="8" w:color="auto"/>
            </w:tcBorders>
            <w:shd w:val="clear" w:color="auto" w:fill="D4EFF3"/>
          </w:tcPr>
          <w:p>
            <w:pPr>
              <w:spacing w:after="0"/>
              <w:rPr>
                <w:sz w:val="18"/>
                <w:szCs w:val="18"/>
                <w:color w:val="auto"/>
              </w:rPr>
            </w:pPr>
          </w:p>
        </w:tc>
        <w:tc>
          <w:tcPr>
            <w:tcW w:w="1200" w:type="dxa"/>
            <w:vAlign w:val="bottom"/>
            <w:tcBorders>
              <w:top w:val="single" w:sz="8" w:color="auto"/>
              <w:bottom w:val="single" w:sz="8" w:color="auto"/>
            </w:tcBorders>
            <w:shd w:val="clear" w:color="auto" w:fill="D4EFF3"/>
          </w:tcPr>
          <w:p>
            <w:pPr>
              <w:jc w:val="right"/>
              <w:ind w:right="6"/>
              <w:spacing w:after="0" w:line="209" w:lineRule="exact"/>
              <w:rPr>
                <w:sz w:val="20"/>
                <w:szCs w:val="20"/>
                <w:color w:val="auto"/>
              </w:rPr>
            </w:pPr>
            <w:r>
              <w:rPr>
                <w:rFonts w:ascii="Arial" w:cs="Arial" w:eastAsia="Arial" w:hAnsi="Arial"/>
                <w:sz w:val="19"/>
                <w:szCs w:val="19"/>
                <w:color w:val="auto"/>
              </w:rPr>
              <w:t>55,969</w:t>
            </w:r>
          </w:p>
        </w:tc>
        <w:tc>
          <w:tcPr>
            <w:tcW w:w="160" w:type="dxa"/>
            <w:vAlign w:val="bottom"/>
            <w:tcBorders>
              <w:top w:val="single" w:sz="8" w:color="D4EFF3"/>
              <w:bottom w:val="single" w:sz="8" w:color="D4EFF3"/>
            </w:tcBorders>
            <w:shd w:val="clear" w:color="auto" w:fill="D4EFF3"/>
          </w:tcPr>
          <w:p>
            <w:pPr>
              <w:spacing w:after="0"/>
              <w:rPr>
                <w:sz w:val="18"/>
                <w:szCs w:val="18"/>
                <w:color w:val="auto"/>
              </w:rPr>
            </w:pPr>
          </w:p>
        </w:tc>
        <w:tc>
          <w:tcPr>
            <w:tcW w:w="440" w:type="dxa"/>
            <w:vAlign w:val="bottom"/>
            <w:tcBorders>
              <w:top w:val="single" w:sz="8" w:color="D4EFF3"/>
              <w:bottom w:val="single" w:sz="8" w:color="auto"/>
            </w:tcBorders>
            <w:shd w:val="clear" w:color="auto" w:fill="D4EFF3"/>
          </w:tcPr>
          <w:p>
            <w:pPr>
              <w:spacing w:after="0"/>
              <w:rPr>
                <w:sz w:val="18"/>
                <w:szCs w:val="18"/>
                <w:color w:val="auto"/>
              </w:rPr>
            </w:pPr>
          </w:p>
        </w:tc>
        <w:tc>
          <w:tcPr>
            <w:tcW w:w="1200" w:type="dxa"/>
            <w:vAlign w:val="bottom"/>
            <w:tcBorders>
              <w:top w:val="single" w:sz="8" w:color="D4EFF3"/>
              <w:bottom w:val="single" w:sz="8" w:color="auto"/>
            </w:tcBorders>
            <w:shd w:val="clear" w:color="auto" w:fill="D4EFF3"/>
          </w:tcPr>
          <w:p>
            <w:pPr>
              <w:jc w:val="right"/>
              <w:ind w:right="4"/>
              <w:spacing w:after="0" w:line="209" w:lineRule="exact"/>
              <w:rPr>
                <w:sz w:val="20"/>
                <w:szCs w:val="20"/>
                <w:color w:val="auto"/>
              </w:rPr>
            </w:pPr>
            <w:r>
              <w:rPr>
                <w:rFonts w:ascii="Arial" w:cs="Arial" w:eastAsia="Arial" w:hAnsi="Arial"/>
                <w:sz w:val="19"/>
                <w:szCs w:val="19"/>
                <w:color w:val="auto"/>
              </w:rPr>
              <w:t>42,342</w:t>
            </w:r>
          </w:p>
        </w:tc>
      </w:tr>
      <w:tr>
        <w:trPr>
          <w:trHeight w:val="239"/>
        </w:trPr>
        <w:tc>
          <w:tcPr>
            <w:tcW w:w="3000" w:type="dxa"/>
            <w:vAlign w:val="bottom"/>
          </w:tcPr>
          <w:p>
            <w:pPr>
              <w:ind w:left="40"/>
              <w:spacing w:after="0"/>
              <w:rPr>
                <w:sz w:val="20"/>
                <w:szCs w:val="20"/>
                <w:color w:val="auto"/>
              </w:rPr>
            </w:pPr>
            <w:r>
              <w:rPr>
                <w:rFonts w:ascii="Arial" w:cs="Arial" w:eastAsia="Arial" w:hAnsi="Arial"/>
                <w:sz w:val="19"/>
                <w:szCs w:val="19"/>
                <w:color w:val="auto"/>
              </w:rPr>
              <w:t>Personnel</w:t>
            </w:r>
          </w:p>
        </w:tc>
        <w:tc>
          <w:tcPr>
            <w:tcW w:w="440" w:type="dxa"/>
            <w:vAlign w:val="bottom"/>
          </w:tcPr>
          <w:p>
            <w:pPr>
              <w:spacing w:after="0"/>
              <w:rPr>
                <w:sz w:val="20"/>
                <w:szCs w:val="20"/>
                <w:color w:val="auto"/>
              </w:rPr>
            </w:pPr>
          </w:p>
        </w:tc>
        <w:tc>
          <w:tcPr>
            <w:tcW w:w="1200" w:type="dxa"/>
            <w:vAlign w:val="bottom"/>
          </w:tcPr>
          <w:p>
            <w:pPr>
              <w:jc w:val="right"/>
              <w:ind w:right="6"/>
              <w:spacing w:after="0"/>
              <w:rPr>
                <w:sz w:val="20"/>
                <w:szCs w:val="20"/>
                <w:color w:val="auto"/>
              </w:rPr>
            </w:pPr>
            <w:r>
              <w:rPr>
                <w:rFonts w:ascii="Arial" w:cs="Arial" w:eastAsia="Arial" w:hAnsi="Arial"/>
                <w:sz w:val="19"/>
                <w:szCs w:val="19"/>
                <w:color w:val="auto"/>
              </w:rPr>
              <w:t>10,236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9"/>
                <w:szCs w:val="19"/>
                <w:color w:val="auto"/>
              </w:rPr>
              <w:t>10,472</w:t>
            </w:r>
          </w:p>
        </w:tc>
      </w:tr>
      <w:tr>
        <w:trPr>
          <w:trHeight w:val="249"/>
        </w:trPr>
        <w:tc>
          <w:tcPr>
            <w:tcW w:w="3000" w:type="dxa"/>
            <w:vAlign w:val="bottom"/>
            <w:tcBorders>
              <w:bottom w:val="single" w:sz="8" w:color="D4EFF3"/>
            </w:tcBorders>
            <w:shd w:val="clear" w:color="auto" w:fill="D4EFF3"/>
          </w:tcPr>
          <w:p>
            <w:pPr>
              <w:ind w:left="40"/>
              <w:spacing w:after="0"/>
              <w:rPr>
                <w:sz w:val="20"/>
                <w:szCs w:val="20"/>
                <w:color w:val="auto"/>
              </w:rPr>
            </w:pPr>
            <w:r>
              <w:rPr>
                <w:rFonts w:ascii="Arial" w:cs="Arial" w:eastAsia="Arial" w:hAnsi="Arial"/>
                <w:sz w:val="19"/>
                <w:szCs w:val="19"/>
                <w:color w:val="auto"/>
              </w:rPr>
              <w:t>General</w:t>
            </w:r>
          </w:p>
        </w:tc>
        <w:tc>
          <w:tcPr>
            <w:tcW w:w="440" w:type="dxa"/>
            <w:vAlign w:val="bottom"/>
            <w:tcBorders>
              <w:bottom w:val="single" w:sz="8" w:color="auto"/>
            </w:tcBorders>
            <w:shd w:val="clear" w:color="auto" w:fill="D4EFF3"/>
          </w:tcPr>
          <w:p>
            <w:pPr>
              <w:spacing w:after="0"/>
              <w:rPr>
                <w:sz w:val="21"/>
                <w:szCs w:val="21"/>
                <w:color w:val="auto"/>
              </w:rPr>
            </w:pPr>
          </w:p>
        </w:tc>
        <w:tc>
          <w:tcPr>
            <w:tcW w:w="1200" w:type="dxa"/>
            <w:vAlign w:val="bottom"/>
            <w:tcBorders>
              <w:bottom w:val="single" w:sz="8" w:color="auto"/>
            </w:tcBorders>
            <w:shd w:val="clear" w:color="auto" w:fill="D4EFF3"/>
          </w:tcPr>
          <w:p>
            <w:pPr>
              <w:jc w:val="right"/>
              <w:ind w:right="6"/>
              <w:spacing w:after="0"/>
              <w:rPr>
                <w:sz w:val="20"/>
                <w:szCs w:val="20"/>
                <w:color w:val="auto"/>
              </w:rPr>
            </w:pPr>
            <w:r>
              <w:rPr>
                <w:rFonts w:ascii="Arial" w:cs="Arial" w:eastAsia="Arial" w:hAnsi="Arial"/>
                <w:sz w:val="19"/>
                <w:szCs w:val="19"/>
                <w:color w:val="auto"/>
              </w:rPr>
              <w:t>6,634</w:t>
            </w:r>
          </w:p>
        </w:tc>
        <w:tc>
          <w:tcPr>
            <w:tcW w:w="160" w:type="dxa"/>
            <w:vAlign w:val="bottom"/>
            <w:tcBorders>
              <w:bottom w:val="single" w:sz="8" w:color="D4EFF3"/>
            </w:tcBorders>
            <w:shd w:val="clear" w:color="auto" w:fill="D4EFF3"/>
          </w:tcPr>
          <w:p>
            <w:pPr>
              <w:spacing w:after="0"/>
              <w:rPr>
                <w:sz w:val="21"/>
                <w:szCs w:val="21"/>
                <w:color w:val="auto"/>
              </w:rPr>
            </w:pPr>
          </w:p>
        </w:tc>
        <w:tc>
          <w:tcPr>
            <w:tcW w:w="440" w:type="dxa"/>
            <w:vAlign w:val="bottom"/>
            <w:tcBorders>
              <w:bottom w:val="single" w:sz="8" w:color="auto"/>
            </w:tcBorders>
            <w:shd w:val="clear" w:color="auto" w:fill="D4EFF3"/>
          </w:tcPr>
          <w:p>
            <w:pPr>
              <w:spacing w:after="0"/>
              <w:rPr>
                <w:sz w:val="21"/>
                <w:szCs w:val="21"/>
                <w:color w:val="auto"/>
              </w:rPr>
            </w:pPr>
          </w:p>
        </w:tc>
        <w:tc>
          <w:tcPr>
            <w:tcW w:w="1200" w:type="dxa"/>
            <w:vAlign w:val="bottom"/>
            <w:tcBorders>
              <w:bottom w:val="single" w:sz="8" w:color="auto"/>
            </w:tcBorders>
            <w:shd w:val="clear" w:color="auto" w:fill="D4EFF3"/>
          </w:tcPr>
          <w:p>
            <w:pPr>
              <w:jc w:val="right"/>
              <w:ind w:right="4"/>
              <w:spacing w:after="0"/>
              <w:rPr>
                <w:sz w:val="20"/>
                <w:szCs w:val="20"/>
                <w:color w:val="auto"/>
              </w:rPr>
            </w:pPr>
            <w:r>
              <w:rPr>
                <w:rFonts w:ascii="Arial" w:cs="Arial" w:eastAsia="Arial" w:hAnsi="Arial"/>
                <w:sz w:val="19"/>
                <w:szCs w:val="19"/>
                <w:color w:val="auto"/>
              </w:rPr>
              <w:t>4,661</w:t>
            </w:r>
          </w:p>
        </w:tc>
      </w:tr>
      <w:tr>
        <w:trPr>
          <w:trHeight w:val="259"/>
        </w:trPr>
        <w:tc>
          <w:tcPr>
            <w:tcW w:w="3000" w:type="dxa"/>
            <w:vAlign w:val="bottom"/>
            <w:tcBorders>
              <w:bottom w:val="single" w:sz="8" w:color="D4EFF3"/>
            </w:tcBorders>
          </w:tcPr>
          <w:p>
            <w:pPr>
              <w:ind w:left="300"/>
              <w:spacing w:after="0"/>
              <w:rPr>
                <w:sz w:val="20"/>
                <w:szCs w:val="20"/>
                <w:color w:val="auto"/>
              </w:rPr>
            </w:pPr>
            <w:r>
              <w:rPr>
                <w:rFonts w:ascii="Arial" w:cs="Arial" w:eastAsia="Arial" w:hAnsi="Arial"/>
                <w:sz w:val="19"/>
                <w:szCs w:val="19"/>
                <w:color w:val="auto"/>
              </w:rPr>
              <w:t>General and administrative</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16,870</w:t>
            </w:r>
          </w:p>
        </w:tc>
        <w:tc>
          <w:tcPr>
            <w:tcW w:w="160" w:type="dxa"/>
            <w:vAlign w:val="bottom"/>
            <w:tcBorders>
              <w:bottom w:val="single" w:sz="8" w:color="D4EFF3"/>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15,133</w:t>
            </w:r>
          </w:p>
        </w:tc>
      </w:tr>
      <w:tr>
        <w:trPr>
          <w:trHeight w:val="214"/>
        </w:trPr>
        <w:tc>
          <w:tcPr>
            <w:tcW w:w="3000" w:type="dxa"/>
            <w:vAlign w:val="bottom"/>
            <w:tcBorders>
              <w:top w:val="single" w:sz="8" w:color="D4EFF3"/>
              <w:bottom w:val="single" w:sz="8" w:color="D4EFF3"/>
            </w:tcBorders>
            <w:shd w:val="clear" w:color="auto" w:fill="D4EFF3"/>
          </w:tcPr>
          <w:p>
            <w:pPr>
              <w:ind w:left="400"/>
              <w:spacing w:after="0" w:line="209" w:lineRule="exact"/>
              <w:rPr>
                <w:sz w:val="20"/>
                <w:szCs w:val="20"/>
                <w:color w:val="auto"/>
              </w:rPr>
            </w:pPr>
            <w:r>
              <w:rPr>
                <w:rFonts w:ascii="Arial" w:cs="Arial" w:eastAsia="Arial" w:hAnsi="Arial"/>
                <w:sz w:val="19"/>
                <w:szCs w:val="19"/>
                <w:color w:val="auto"/>
              </w:rPr>
              <w:t>Other income</w:t>
            </w:r>
          </w:p>
        </w:tc>
        <w:tc>
          <w:tcPr>
            <w:tcW w:w="440" w:type="dxa"/>
            <w:vAlign w:val="bottom"/>
            <w:tcBorders>
              <w:top w:val="single" w:sz="8" w:color="auto"/>
              <w:bottom w:val="single" w:sz="8" w:color="auto"/>
            </w:tcBorders>
            <w:shd w:val="clear" w:color="auto" w:fill="D4EFF3"/>
          </w:tcPr>
          <w:p>
            <w:pPr>
              <w:spacing w:after="0"/>
              <w:rPr>
                <w:sz w:val="18"/>
                <w:szCs w:val="18"/>
                <w:color w:val="auto"/>
              </w:rPr>
            </w:pPr>
          </w:p>
        </w:tc>
        <w:tc>
          <w:tcPr>
            <w:tcW w:w="1200" w:type="dxa"/>
            <w:vAlign w:val="bottom"/>
            <w:tcBorders>
              <w:top w:val="single" w:sz="8" w:color="auto"/>
              <w:bottom w:val="single" w:sz="8" w:color="auto"/>
            </w:tcBorders>
            <w:shd w:val="clear" w:color="auto" w:fill="D4EFF3"/>
          </w:tcPr>
          <w:p>
            <w:pPr>
              <w:jc w:val="right"/>
              <w:ind w:right="6"/>
              <w:spacing w:after="0" w:line="209" w:lineRule="exact"/>
              <w:rPr>
                <w:sz w:val="20"/>
                <w:szCs w:val="20"/>
                <w:color w:val="auto"/>
              </w:rPr>
            </w:pPr>
            <w:r>
              <w:rPr>
                <w:rFonts w:ascii="Arial" w:cs="Arial" w:eastAsia="Arial" w:hAnsi="Arial"/>
                <w:sz w:val="19"/>
                <w:szCs w:val="19"/>
                <w:color w:val="auto"/>
              </w:rPr>
              <w:t>6,350</w:t>
            </w:r>
          </w:p>
        </w:tc>
        <w:tc>
          <w:tcPr>
            <w:tcW w:w="160" w:type="dxa"/>
            <w:vAlign w:val="bottom"/>
            <w:tcBorders>
              <w:top w:val="single" w:sz="8" w:color="D4EFF3"/>
              <w:bottom w:val="single" w:sz="8" w:color="D4EFF3"/>
            </w:tcBorders>
            <w:shd w:val="clear" w:color="auto" w:fill="D4EFF3"/>
          </w:tcPr>
          <w:p>
            <w:pPr>
              <w:spacing w:after="0"/>
              <w:rPr>
                <w:sz w:val="18"/>
                <w:szCs w:val="18"/>
                <w:color w:val="auto"/>
              </w:rPr>
            </w:pPr>
          </w:p>
        </w:tc>
        <w:tc>
          <w:tcPr>
            <w:tcW w:w="440" w:type="dxa"/>
            <w:vAlign w:val="bottom"/>
            <w:tcBorders>
              <w:top w:val="single" w:sz="8" w:color="D4EFF3"/>
              <w:bottom w:val="single" w:sz="8" w:color="auto"/>
            </w:tcBorders>
            <w:shd w:val="clear" w:color="auto" w:fill="D4EFF3"/>
          </w:tcPr>
          <w:p>
            <w:pPr>
              <w:spacing w:after="0"/>
              <w:rPr>
                <w:sz w:val="18"/>
                <w:szCs w:val="18"/>
                <w:color w:val="auto"/>
              </w:rPr>
            </w:pPr>
          </w:p>
        </w:tc>
        <w:tc>
          <w:tcPr>
            <w:tcW w:w="1200" w:type="dxa"/>
            <w:vAlign w:val="bottom"/>
            <w:tcBorders>
              <w:top w:val="single" w:sz="8" w:color="D4EFF3"/>
              <w:bottom w:val="single" w:sz="8" w:color="auto"/>
            </w:tcBorders>
            <w:shd w:val="clear" w:color="auto" w:fill="D4EFF3"/>
          </w:tcPr>
          <w:p>
            <w:pPr>
              <w:jc w:val="right"/>
              <w:ind w:right="4"/>
              <w:spacing w:after="0" w:line="209" w:lineRule="exact"/>
              <w:rPr>
                <w:sz w:val="20"/>
                <w:szCs w:val="20"/>
                <w:color w:val="auto"/>
              </w:rPr>
            </w:pPr>
            <w:r>
              <w:rPr>
                <w:rFonts w:ascii="Arial" w:cs="Arial" w:eastAsia="Arial" w:hAnsi="Arial"/>
                <w:sz w:val="19"/>
                <w:szCs w:val="19"/>
                <w:color w:val="auto"/>
              </w:rPr>
              <w:t>7,250</w:t>
            </w:r>
          </w:p>
        </w:tc>
      </w:tr>
      <w:tr>
        <w:trPr>
          <w:trHeight w:val="264"/>
        </w:trPr>
        <w:tc>
          <w:tcPr>
            <w:tcW w:w="3000" w:type="dxa"/>
            <w:vAlign w:val="bottom"/>
          </w:tcPr>
          <w:p>
            <w:pPr>
              <w:ind w:left="580"/>
              <w:spacing w:after="0"/>
              <w:rPr>
                <w:sz w:val="20"/>
                <w:szCs w:val="20"/>
                <w:color w:val="auto"/>
              </w:rPr>
            </w:pPr>
            <w:r>
              <w:rPr>
                <w:rFonts w:ascii="Arial" w:cs="Arial" w:eastAsia="Arial" w:hAnsi="Arial"/>
                <w:sz w:val="19"/>
                <w:szCs w:val="19"/>
                <w:color w:val="auto"/>
              </w:rPr>
              <w:t>Net loss</w:t>
            </w: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(66,489)</w:t>
            </w:r>
          </w:p>
        </w:tc>
        <w:tc>
          <w:tcPr>
            <w:tcW w:w="160" w:type="dxa"/>
            <w:vAlign w:val="bottom"/>
          </w:tcPr>
          <w:p>
            <w:pPr>
              <w:spacing w:after="0"/>
              <w:rPr>
                <w:sz w:val="22"/>
                <w:szCs w:val="22"/>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2240" w:h="15840" w:orient="portrait"/>
          <w:cols w:equalWidth="0" w:num="1">
            <w:col w:w="9360"/>
          </w:cols>
          <w:pgMar w:left="1440" w:top="1440" w:right="1440" w:bottom="393" w:gutter="0" w:footer="0" w:header="0"/>
        </w:sectPr>
      </w:pPr>
    </w:p>
    <w:bookmarkStart w:id="127" w:name="page128"/>
    <w:bookmarkEnd w:id="127"/>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22222"/>
        </w:rPr>
        <w:t>Management’s Evaluation of our Disclosure Controls and Procedures</w:t>
      </w:r>
    </w:p>
    <w:p>
      <w:pPr>
        <w:spacing w:after="0" w:line="236" w:lineRule="exact"/>
        <w:rPr>
          <w:sz w:val="20"/>
          <w:szCs w:val="20"/>
          <w:color w:val="auto"/>
        </w:rPr>
      </w:pPr>
    </w:p>
    <w:p>
      <w:pPr>
        <w:ind w:right="80" w:firstLine="490"/>
        <w:spacing w:after="0" w:line="243" w:lineRule="auto"/>
        <w:rPr>
          <w:sz w:val="20"/>
          <w:szCs w:val="20"/>
          <w:color w:val="auto"/>
        </w:rPr>
      </w:pPr>
      <w:r>
        <w:rPr>
          <w:rFonts w:ascii="Arial" w:cs="Arial" w:eastAsia="Arial" w:hAnsi="Arial"/>
          <w:sz w:val="20"/>
          <w:szCs w:val="20"/>
          <w:color w:val="auto"/>
        </w:rPr>
        <w:t>Under the supervision of and with the participation of our management, including our principal executive officer, our principal financial officer and our principal accounting officer, we conducted an evaluation of the effectiveness of our disclosure controls and procedures as of December 31, 2025, the end of the period covered by this Form 10-K. The term “disclosure controls and procedures,” as set forth in Rules 13a-15(e) and 15d -15(e)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204" w:lineRule="exact"/>
        <w:rPr>
          <w:sz w:val="20"/>
          <w:szCs w:val="20"/>
          <w:color w:val="auto"/>
        </w:rPr>
      </w:pPr>
    </w:p>
    <w:p>
      <w:pPr>
        <w:ind w:right="240" w:firstLine="490"/>
        <w:spacing w:after="0" w:line="244" w:lineRule="auto"/>
        <w:rPr>
          <w:sz w:val="20"/>
          <w:szCs w:val="20"/>
          <w:color w:val="auto"/>
        </w:rPr>
      </w:pPr>
      <w:r>
        <w:rPr>
          <w:rFonts w:ascii="Arial" w:cs="Arial" w:eastAsia="Arial" w:hAnsi="Arial"/>
          <w:sz w:val="20"/>
          <w:szCs w:val="20"/>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98" w:lineRule="exact"/>
        <w:rPr>
          <w:sz w:val="20"/>
          <w:szCs w:val="20"/>
          <w:color w:val="auto"/>
        </w:rPr>
      </w:pPr>
    </w:p>
    <w:p>
      <w:pPr>
        <w:ind w:right="60" w:firstLine="490"/>
        <w:spacing w:after="0" w:line="282" w:lineRule="auto"/>
        <w:rPr>
          <w:sz w:val="20"/>
          <w:szCs w:val="20"/>
          <w:color w:val="auto"/>
        </w:rPr>
      </w:pPr>
      <w:r>
        <w:rPr>
          <w:rFonts w:ascii="Arial" w:cs="Arial" w:eastAsia="Arial" w:hAnsi="Arial"/>
          <w:sz w:val="20"/>
          <w:szCs w:val="20"/>
          <w:color w:val="auto"/>
        </w:rPr>
        <w:t>Based on this evaluation, the principal executive officer and principal financial officer concluded that our disclosure controls and procedures were effective as of December 31, 2025.</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22222"/>
        </w:rPr>
        <w:t>Management’s Report on Internal Control over Financial Reporting</w:t>
      </w:r>
    </w:p>
    <w:p>
      <w:pPr>
        <w:spacing w:after="0" w:line="234" w:lineRule="exact"/>
        <w:rPr>
          <w:sz w:val="20"/>
          <w:szCs w:val="20"/>
          <w:color w:val="auto"/>
        </w:rPr>
      </w:pPr>
    </w:p>
    <w:p>
      <w:pPr>
        <w:ind w:right="40" w:firstLine="490"/>
        <w:spacing w:after="0" w:line="243"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Internal control over financial reporting (as defined in Rule 13a-15(f) of the Exchange Act) is a process designed to provide reasonable assurance regarding the reliability of financial reporting and the preparation of consolidated financial statements in accordance with GAAP.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204" w:lineRule="exact"/>
        <w:rPr>
          <w:sz w:val="20"/>
          <w:szCs w:val="20"/>
          <w:color w:val="auto"/>
        </w:rPr>
      </w:pPr>
    </w:p>
    <w:p>
      <w:pPr>
        <w:ind w:right="140" w:firstLine="490"/>
        <w:spacing w:after="0" w:line="282" w:lineRule="auto"/>
        <w:rPr>
          <w:sz w:val="20"/>
          <w:szCs w:val="20"/>
          <w:color w:val="auto"/>
        </w:rPr>
      </w:pPr>
      <w:r>
        <w:rPr>
          <w:rFonts w:ascii="Arial" w:cs="Arial" w:eastAsia="Arial" w:hAnsi="Arial"/>
          <w:sz w:val="20"/>
          <w:szCs w:val="20"/>
          <w:color w:val="auto"/>
        </w:rPr>
        <w:t>We are required, under Section 404 of the Sarbanes-Oxley Act, to furnish a report by management on, among other things, the effectiveness of our internal control over financial reporting beginning with</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126</w:t>
      </w:r>
    </w:p>
    <w:p>
      <w:pPr>
        <w:sectPr>
          <w:pgSz w:w="12240" w:h="15840" w:orient="portrait"/>
          <w:cols w:equalWidth="0" w:num="1">
            <w:col w:w="9360"/>
          </w:cols>
          <w:pgMar w:left="1440" w:top="1416" w:right="1440" w:bottom="393" w:gutter="0" w:footer="0" w:header="0"/>
        </w:sectPr>
      </w:pPr>
    </w:p>
    <w:bookmarkStart w:id="128" w:name="page129"/>
    <w:bookmarkEnd w:id="128"/>
    <w:p>
      <w:pPr>
        <w:ind w:right="220"/>
        <w:spacing w:after="0" w:line="259" w:lineRule="auto"/>
        <w:rPr>
          <w:sz w:val="20"/>
          <w:szCs w:val="20"/>
          <w:color w:val="auto"/>
        </w:rPr>
      </w:pPr>
      <w:r>
        <w:rPr>
          <w:rFonts w:ascii="Arial" w:cs="Arial" w:eastAsia="Arial" w:hAnsi="Arial"/>
          <w:sz w:val="19"/>
          <w:szCs w:val="19"/>
          <w:color w:val="auto"/>
        </w:rPr>
        <w:t xml:space="preserve">this Form 10- K. This assessment includes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consolidated financial statements will not be detected or prevented on a timely basis. Management conducted an evaluation of the effectiveness, as of December 31, 2025, of our internal control over financial reporting based on the framework in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xml:space="preserve"> issued by the Committee of Sponsoring Organizations of the Treadway Commission (2013). Based on this evaluation, management concluded that our internal control over financial reporting was effective as of December 31, 2025.</w:t>
      </w:r>
    </w:p>
    <w:p>
      <w:pPr>
        <w:spacing w:after="0" w:line="187" w:lineRule="exact"/>
        <w:rPr>
          <w:sz w:val="20"/>
          <w:szCs w:val="20"/>
          <w:color w:val="auto"/>
        </w:rPr>
      </w:pPr>
    </w:p>
    <w:p>
      <w:pPr>
        <w:ind w:right="20" w:firstLine="490"/>
        <w:spacing w:after="0" w:line="254" w:lineRule="auto"/>
        <w:rPr>
          <w:sz w:val="20"/>
          <w:szCs w:val="20"/>
          <w:color w:val="auto"/>
        </w:rPr>
      </w:pPr>
      <w:r>
        <w:rPr>
          <w:rFonts w:ascii="Arial" w:cs="Arial" w:eastAsia="Arial" w:hAnsi="Arial"/>
          <w:sz w:val="20"/>
          <w:szCs w:val="20"/>
          <w:color w:val="auto"/>
        </w:rPr>
        <w:t>As a smaller reporting company, we are exempt from the auditor attestation requirements of Section 404 of the Sarbanes-Oxley Act of 2002. As a result, our independent registered public accounting firm has not audited or issued an attestation report with respect to the effectiveness of our internal control over financial reporting as of December 31,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22222"/>
        </w:rPr>
        <w:t>Changes in Internal Control over Financial Reporting</w:t>
      </w:r>
    </w:p>
    <w:p>
      <w:pPr>
        <w:spacing w:after="0" w:line="234" w:lineRule="exact"/>
        <w:rPr>
          <w:sz w:val="20"/>
          <w:szCs w:val="20"/>
          <w:color w:val="auto"/>
        </w:rPr>
      </w:pPr>
    </w:p>
    <w:p>
      <w:pPr>
        <w:ind w:right="60" w:firstLine="490"/>
        <w:spacing w:after="0" w:line="254" w:lineRule="auto"/>
        <w:rPr>
          <w:sz w:val="20"/>
          <w:szCs w:val="20"/>
          <w:color w:val="auto"/>
        </w:rPr>
      </w:pPr>
      <w:r>
        <w:rPr>
          <w:rFonts w:ascii="Arial" w:cs="Arial" w:eastAsia="Arial" w:hAnsi="Arial"/>
          <w:sz w:val="20"/>
          <w:szCs w:val="20"/>
          <w:color w:val="222222"/>
        </w:rPr>
        <w:t>During the quarter ended December 31, 2025,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22222"/>
        </w:rPr>
        <w:t>Rule 10b5-1 Trading Plans</w:t>
      </w:r>
    </w:p>
    <w:p>
      <w:pPr>
        <w:spacing w:after="0" w:line="234" w:lineRule="exact"/>
        <w:rPr>
          <w:sz w:val="20"/>
          <w:szCs w:val="20"/>
          <w:color w:val="auto"/>
        </w:rPr>
      </w:pPr>
    </w:p>
    <w:p>
      <w:pPr>
        <w:ind w:right="360" w:firstLine="490"/>
        <w:spacing w:after="0" w:line="254" w:lineRule="auto"/>
        <w:rPr>
          <w:sz w:val="20"/>
          <w:szCs w:val="20"/>
          <w:color w:val="auto"/>
        </w:rPr>
      </w:pPr>
      <w:r>
        <w:rPr>
          <w:rFonts w:ascii="Arial" w:cs="Arial" w:eastAsia="Arial" w:hAnsi="Arial"/>
          <w:sz w:val="20"/>
          <w:szCs w:val="20"/>
          <w:color w:val="222222"/>
        </w:rPr>
        <w:t>During the three months ended December 31, 2025, none of our directors or officers adopted, materially modified, or terminated any contract, instruction, or written plan for the purchase or sale our securities that was intended to satisfy the affirmative defense conditions of Rule 10b5-1(c) under the Exchange Act or any non-Rule 10b5-1 trading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0"/>
          <w:szCs w:val="20"/>
          <w:color w:val="222222"/>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127</w:t>
      </w:r>
    </w:p>
    <w:p>
      <w:pPr>
        <w:sectPr>
          <w:pgSz w:w="12240" w:h="15840" w:orient="portrait"/>
          <w:cols w:equalWidth="0" w:num="1">
            <w:col w:w="9360"/>
          </w:cols>
          <w:pgMar w:left="1440" w:top="1420" w:right="1440" w:bottom="393" w:gutter="0" w:footer="0" w:header="0"/>
        </w:sectPr>
      </w:pPr>
    </w:p>
    <w:bookmarkStart w:id="129" w:name="page130"/>
    <w:bookmarkEnd w:id="129"/>
    <w:p>
      <w:pPr>
        <w:ind w:left="4540"/>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2"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The information required by this Item 10 will be included in our Definitive Proxy Statement to be filed with the Securities and Exchange Commission ("SEC"), with respect to our 2026 Annual Meeting of Stockholders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4" w:lineRule="exact"/>
        <w:rPr>
          <w:sz w:val="20"/>
          <w:szCs w:val="20"/>
          <w:color w:val="auto"/>
        </w:rPr>
      </w:pPr>
    </w:p>
    <w:p>
      <w:pPr>
        <w:ind w:right="40" w:firstLine="490"/>
        <w:spacing w:after="0" w:line="260" w:lineRule="auto"/>
        <w:rPr>
          <w:sz w:val="20"/>
          <w:szCs w:val="20"/>
          <w:color w:val="auto"/>
        </w:rPr>
      </w:pPr>
      <w:r>
        <w:rPr>
          <w:rFonts w:ascii="Arial" w:cs="Arial" w:eastAsia="Arial" w:hAnsi="Arial"/>
          <w:sz w:val="20"/>
          <w:szCs w:val="20"/>
          <w:color w:val="auto"/>
        </w:rPr>
        <w:t>The information required by this Item 11 will be included in our Definitive Proxy Statement to be filed with the SEC with respect to our 2026 Annual Meeting of Stockholders and is incorporated herein by reference.</w:t>
      </w:r>
    </w:p>
    <w:p>
      <w:pPr>
        <w:spacing w:after="0" w:line="177" w:lineRule="exact"/>
        <w:rPr>
          <w:sz w:val="20"/>
          <w:szCs w:val="20"/>
          <w:color w:val="auto"/>
        </w:rPr>
      </w:pPr>
    </w:p>
    <w:p>
      <w:pPr>
        <w:ind w:right="1020"/>
        <w:spacing w:after="0" w:line="29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36" w:lineRule="exact"/>
        <w:rPr>
          <w:sz w:val="20"/>
          <w:szCs w:val="20"/>
          <w:color w:val="auto"/>
        </w:rPr>
      </w:pPr>
    </w:p>
    <w:p>
      <w:pPr>
        <w:ind w:right="160" w:firstLine="490"/>
        <w:spacing w:after="0" w:line="261" w:lineRule="auto"/>
        <w:rPr>
          <w:sz w:val="20"/>
          <w:szCs w:val="20"/>
          <w:color w:val="auto"/>
        </w:rPr>
      </w:pPr>
      <w:r>
        <w:rPr>
          <w:rFonts w:ascii="Arial" w:cs="Arial" w:eastAsia="Arial" w:hAnsi="Arial"/>
          <w:sz w:val="20"/>
          <w:szCs w:val="20"/>
          <w:color w:val="auto"/>
        </w:rPr>
        <w:t>Except to the extent provided below, the information required by this Item 12 will be included in our Definitive Proxy Statement to be filed with the SEC with respect to our 2026 Annual Meeting of Stockholders and is incorporated herein by reference.</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2025 Inducement Plan</w:t>
      </w:r>
    </w:p>
    <w:p>
      <w:pPr>
        <w:spacing w:after="0" w:line="244" w:lineRule="exact"/>
        <w:rPr>
          <w:sz w:val="20"/>
          <w:szCs w:val="20"/>
          <w:color w:val="auto"/>
        </w:rPr>
      </w:pPr>
    </w:p>
    <w:p>
      <w:pPr>
        <w:ind w:right="180" w:firstLine="490"/>
        <w:spacing w:after="0" w:line="247" w:lineRule="auto"/>
        <w:rPr>
          <w:sz w:val="20"/>
          <w:szCs w:val="20"/>
          <w:color w:val="auto"/>
        </w:rPr>
      </w:pPr>
      <w:r>
        <w:rPr>
          <w:rFonts w:ascii="Arial" w:cs="Arial" w:eastAsia="Arial" w:hAnsi="Arial"/>
          <w:sz w:val="20"/>
          <w:szCs w:val="20"/>
          <w:color w:val="auto"/>
        </w:rPr>
        <w:t>In December 2025, our board of directors adopted the Inducement Plan. The Inducement Plan provides for the grant of non-qualified stock options, stock appreciation rights, restricted stock awards, restricted stock units, unrestricted stock awards, and dividend equivalent rights with respect to an aggregate of 4,000,000 shares of common stock (subject to adjustment as provided in the Inducement Plan). Awards under the Inducement Plan may only be granted to new employees who were not previously employed by us or our affiliates in accordance with the requirements of Nasdaq Stock Market Rule 5635(c)(4).</w:t>
      </w:r>
    </w:p>
    <w:p>
      <w:pPr>
        <w:spacing w:after="0" w:line="194" w:lineRule="exact"/>
        <w:rPr>
          <w:sz w:val="20"/>
          <w:szCs w:val="20"/>
          <w:color w:val="auto"/>
        </w:rPr>
      </w:pPr>
    </w:p>
    <w:p>
      <w:pPr>
        <w:ind w:right="20" w:firstLine="490"/>
        <w:spacing w:after="0" w:line="243" w:lineRule="auto"/>
        <w:rPr>
          <w:sz w:val="20"/>
          <w:szCs w:val="20"/>
          <w:color w:val="auto"/>
        </w:rPr>
      </w:pPr>
      <w:r>
        <w:rPr>
          <w:rFonts w:ascii="Arial" w:cs="Arial" w:eastAsia="Arial" w:hAnsi="Arial"/>
          <w:sz w:val="20"/>
          <w:szCs w:val="20"/>
          <w:color w:val="auto"/>
        </w:rPr>
        <w:t>The Inducement Plan provides that in the event of a merger, consolidation, reorganization, substantial asset sale, stock sale or similar event affecting the Company in which the owners of the Company’s outstanding voting power prior to such event do not own at least a majority of the voting power of the successor or surviving entity (in each case, a “Sale Event”), to the extent that awards are not assumed, continued or substituted by the successor entity, the Inducement Plan and all outstanding awards will terminate. In such case, except as may otherwise be provided in the relevant award certificate, all options and stock appreciation rights granted thereunder with time-based vesting conditions or restrictions that are not vested and/or exercisable immediately prior to the effective time of the Sale Event shall become fully vested and exercisable as of the effective time of the Sale Event, all other outstanding awards granted thereunder with time-based vesting, conditions, or restrictions shall become fully vested and exercisable or nonforfeitable as of the effective time of the Sale Event, and all outstanding awards granted thereunder with conditions and restrictions relating to the attainment of performance goals may become vested and exercisable or nonforfeitable in connection with a Sale Event in the Administrator’s discretion or to the extent specified in the relevant award certificate.</w:t>
      </w:r>
    </w:p>
    <w:p>
      <w:pPr>
        <w:spacing w:after="0" w:line="202" w:lineRule="exact"/>
        <w:rPr>
          <w:sz w:val="20"/>
          <w:szCs w:val="20"/>
          <w:color w:val="auto"/>
        </w:rPr>
      </w:pPr>
    </w:p>
    <w:p>
      <w:pPr>
        <w:ind w:right="20" w:firstLine="490"/>
        <w:spacing w:after="0" w:line="245" w:lineRule="auto"/>
        <w:rPr>
          <w:sz w:val="20"/>
          <w:szCs w:val="20"/>
          <w:color w:val="auto"/>
        </w:rPr>
      </w:pPr>
      <w:r>
        <w:rPr>
          <w:rFonts w:ascii="Arial" w:cs="Arial" w:eastAsia="Arial" w:hAnsi="Arial"/>
          <w:sz w:val="20"/>
          <w:szCs w:val="20"/>
          <w:color w:val="auto"/>
        </w:rPr>
        <w:t>If the Inducement Plan and outstanding awards terminate, each holder of an outstanding stock option or stock appreciation right may receive a payment, in cash or in kind, from the Company equal to the excess of the consideration payable per share in the Sale Event over the applicable exercise price, multiplied by the number of shares of Common Stock then exercisable under the stock option or stock appreciation right (to the extent then exercisable at prices not exceeding such consideration payable per share) or be permitted to exercise their stock option or stock appreciation right (to the extent exercisable) for a period of time prior to the termination of the Inducement Plan, as determined by the Administrator. Stock options or stock appreciation rights with exercise prices equal to or greater than the consideration payable per share in the Sale Event may be cancelled for no consideration. The Company shall also have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2240" w:h="15840" w:orient="portrait"/>
          <w:cols w:equalWidth="0" w:num="1">
            <w:col w:w="9360"/>
          </w:cols>
          <w:pgMar w:left="1440" w:top="1416" w:right="1440" w:bottom="393" w:gutter="0" w:footer="0" w:header="0"/>
        </w:sectPr>
      </w:pPr>
    </w:p>
    <w:bookmarkStart w:id="130" w:name="page131"/>
    <w:bookmarkEnd w:id="130"/>
    <w:p>
      <w:pPr>
        <w:ind w:right="300"/>
        <w:spacing w:after="0" w:line="260" w:lineRule="auto"/>
        <w:rPr>
          <w:sz w:val="20"/>
          <w:szCs w:val="20"/>
          <w:color w:val="auto"/>
        </w:rPr>
      </w:pPr>
      <w:r>
        <w:rPr>
          <w:rFonts w:ascii="Arial" w:cs="Arial" w:eastAsia="Arial" w:hAnsi="Arial"/>
          <w:sz w:val="20"/>
          <w:szCs w:val="20"/>
          <w:color w:val="auto"/>
        </w:rPr>
        <w:t>the option to make or provide for payment, in cash or in kind, to grantee holding other awards in an amount equal to the sale price multiplied by the number of vested shares of Common Stock underlying such awards.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4"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The information required by this Item 13 will be included in our Definitive Proxy Statement to be filed with the SEC with respect to our 2026 Annual Meeting of Stockholders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2" w:lineRule="exact"/>
        <w:rPr>
          <w:sz w:val="20"/>
          <w:szCs w:val="20"/>
          <w:color w:val="auto"/>
        </w:rPr>
      </w:pPr>
    </w:p>
    <w:p>
      <w:pPr>
        <w:ind w:right="40" w:firstLine="490"/>
        <w:spacing w:after="0" w:line="261" w:lineRule="auto"/>
        <w:rPr>
          <w:sz w:val="20"/>
          <w:szCs w:val="20"/>
          <w:color w:val="auto"/>
        </w:rPr>
      </w:pPr>
      <w:r>
        <w:rPr>
          <w:rFonts w:ascii="Arial" w:cs="Arial" w:eastAsia="Arial" w:hAnsi="Arial"/>
          <w:sz w:val="20"/>
          <w:szCs w:val="20"/>
          <w:color w:val="auto"/>
        </w:rPr>
        <w:t>The information required by this Item 14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2240" w:h="15840" w:orient="portrait"/>
          <w:cols w:equalWidth="0" w:num="1">
            <w:col w:w="9360"/>
          </w:cols>
          <w:pgMar w:left="1440" w:top="1420" w:right="1440" w:bottom="393"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7+,63$*(,17(17,21$//&lt;/()7%/$1.</w:t>
      </w:r>
      <w:r>
        <w:rPr>
          <w:rFonts w:ascii="Times New Roman" w:cs="Times New Roman" w:eastAsia="Times New Roman" w:hAnsi="Times New Roman"/>
          <w:sz w:val="22"/>
          <w:szCs w:val="22"/>
          <w:color w:val="auto"/>
        </w:rPr>
        <w:t>]</w:t>
      </w:r>
    </w:p>
    <w:p>
      <w:pPr>
        <w:sectPr>
          <w:pgSz w:w="12240" w:h="15840" w:orient="portrait"/>
          <w:cols w:equalWidth="0" w:num="1">
            <w:col w:w="9360"/>
          </w:cols>
          <w:pgMar w:left="1440" w:top="1440" w:right="1440"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7+,63$*(,17(17,21$//&lt;/()7%/$1.</w:t>
      </w:r>
      <w:r>
        <w:rPr>
          <w:rFonts w:ascii="Times New Roman" w:cs="Times New Roman" w:eastAsia="Times New Roman" w:hAnsi="Times New Roman"/>
          <w:sz w:val="22"/>
          <w:szCs w:val="22"/>
          <w:color w:val="auto"/>
        </w:rPr>
        <w:t>]</w:t>
      </w:r>
    </w:p>
    <w:p>
      <w:pPr>
        <w:sectPr>
          <w:pgSz w:w="12240" w:h="15840" w:orient="portrait"/>
          <w:cols w:equalWidth="0" w:num="1">
            <w:col w:w="936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7+,63$*(,17(17,21$//&lt;/()7%/$1.</w:t>
      </w:r>
      <w:r>
        <w:rPr>
          <w:rFonts w:ascii="Times New Roman" w:cs="Times New Roman" w:eastAsia="Times New Roman" w:hAnsi="Times New Roman"/>
          <w:sz w:val="22"/>
          <w:szCs w:val="22"/>
          <w:color w:val="auto"/>
        </w:rPr>
        <w:t>]</w:t>
      </w:r>
    </w:p>
    <w:p>
      <w:pPr>
        <w:sectPr>
          <w:pgSz w:w="12240" w:h="15840" w:orient="portrait"/>
          <w:cols w:equalWidth="0" w:num="1">
            <w:col w:w="9360"/>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33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BOARD OF DIRECTORS</w:t>
            </w: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b w:val="1"/>
                <w:bCs w:val="1"/>
                <w:color w:val="auto"/>
              </w:rPr>
              <w:t>EXECUTIVE OFFICERS</w:t>
            </w:r>
          </w:p>
        </w:tc>
        <w:tc>
          <w:tcPr>
            <w:tcW w:w="0" w:type="dxa"/>
            <w:vAlign w:val="bottom"/>
          </w:tcPr>
          <w:p>
            <w:pPr>
              <w:spacing w:after="0"/>
              <w:rPr>
                <w:sz w:val="1"/>
                <w:szCs w:val="1"/>
                <w:color w:val="auto"/>
              </w:rPr>
            </w:pPr>
          </w:p>
        </w:tc>
      </w:tr>
      <w:tr>
        <w:trPr>
          <w:trHeight w:val="502"/>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Carl Gordon, Ph.D., C.F.A.</w:t>
            </w: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b w:val="1"/>
                <w:bCs w:val="1"/>
                <w:color w:val="auto"/>
              </w:rPr>
              <w:t>Thomas Schuetz, M.D., Ph.D.</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Chairman of the Board</w:t>
            </w: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Chief Executive Officer</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Managing Partner and Co-Head</w:t>
            </w:r>
          </w:p>
        </w:tc>
        <w:tc>
          <w:tcPr>
            <w:tcW w:w="4040" w:type="dxa"/>
            <w:vAlign w:val="bottom"/>
            <w:vMerge w:val="restart"/>
          </w:tcPr>
          <w:p>
            <w:pPr>
              <w:ind w:left="200"/>
              <w:spacing w:after="0"/>
              <w:rPr>
                <w:sz w:val="20"/>
                <w:szCs w:val="20"/>
                <w:color w:val="auto"/>
              </w:rPr>
            </w:pPr>
            <w:r>
              <w:rPr>
                <w:rFonts w:ascii="Times New Roman" w:cs="Times New Roman" w:eastAsia="Times New Roman" w:hAnsi="Times New Roman"/>
                <w:sz w:val="24"/>
                <w:szCs w:val="24"/>
                <w:b w:val="1"/>
                <w:bCs w:val="1"/>
                <w:color w:val="auto"/>
              </w:rPr>
              <w:t>Barry Shin, J.D., M.B.A.</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of Global Private Equity</w:t>
            </w:r>
          </w:p>
        </w:tc>
        <w:tc>
          <w:tcPr>
            <w:tcW w:w="4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OrbiMed Advisors, LLC</w:t>
            </w: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Chief Financial Officer</w:t>
            </w:r>
          </w:p>
        </w:tc>
        <w:tc>
          <w:tcPr>
            <w:tcW w:w="0" w:type="dxa"/>
            <w:vAlign w:val="bottom"/>
          </w:tcPr>
          <w:p>
            <w:pPr>
              <w:spacing w:after="0"/>
              <w:rPr>
                <w:sz w:val="1"/>
                <w:szCs w:val="1"/>
                <w:color w:val="auto"/>
              </w:rPr>
            </w:pPr>
          </w:p>
        </w:tc>
      </w:tr>
      <w:tr>
        <w:trPr>
          <w:trHeight w:val="508"/>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Thomas Schuetz, M.D., Ph.D.</w:t>
            </w: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b w:val="1"/>
                <w:bCs w:val="1"/>
                <w:color w:val="auto"/>
              </w:rPr>
              <w:t>Neil Lerner, C.P.A., M.I.M.</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Vice Chairman of the Board</w:t>
            </w: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Chief Accounting Officer</w:t>
            </w:r>
          </w:p>
        </w:tc>
        <w:tc>
          <w:tcPr>
            <w:tcW w:w="0" w:type="dxa"/>
            <w:vAlign w:val="bottom"/>
          </w:tcPr>
          <w:p>
            <w:pPr>
              <w:spacing w:after="0"/>
              <w:rPr>
                <w:sz w:val="1"/>
                <w:szCs w:val="1"/>
                <w:color w:val="auto"/>
              </w:rPr>
            </w:pPr>
          </w:p>
        </w:tc>
      </w:tr>
      <w:tr>
        <w:trPr>
          <w:trHeight w:val="32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Chief Executive Officer</w:t>
            </w:r>
          </w:p>
        </w:tc>
        <w:tc>
          <w:tcPr>
            <w:tcW w:w="4040" w:type="dxa"/>
            <w:vAlign w:val="bottom"/>
            <w:vMerge w:val="restart"/>
          </w:tcPr>
          <w:p>
            <w:pPr>
              <w:ind w:left="200"/>
              <w:spacing w:after="0"/>
              <w:rPr>
                <w:sz w:val="20"/>
                <w:szCs w:val="20"/>
                <w:color w:val="auto"/>
              </w:rPr>
            </w:pPr>
            <w:r>
              <w:rPr>
                <w:rFonts w:ascii="Times New Roman" w:cs="Times New Roman" w:eastAsia="Times New Roman" w:hAnsi="Times New Roman"/>
                <w:sz w:val="24"/>
                <w:szCs w:val="24"/>
                <w:b w:val="1"/>
                <w:bCs w:val="1"/>
                <w:color w:val="auto"/>
              </w:rPr>
              <w:t>Jonathan Anderman, J.D.</w:t>
            </w:r>
          </w:p>
        </w:tc>
        <w:tc>
          <w:tcPr>
            <w:tcW w:w="0" w:type="dxa"/>
            <w:vAlign w:val="bottom"/>
          </w:tcPr>
          <w:p>
            <w:pPr>
              <w:spacing w:after="0"/>
              <w:rPr>
                <w:sz w:val="1"/>
                <w:szCs w:val="1"/>
                <w:color w:val="auto"/>
              </w:rPr>
            </w:pPr>
          </w:p>
        </w:tc>
      </w:tr>
      <w:tr>
        <w:trPr>
          <w:trHeight w:val="232"/>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24"/>
                <w:szCs w:val="24"/>
                <w:b w:val="1"/>
                <w:bCs w:val="1"/>
                <w:color w:val="auto"/>
              </w:rPr>
              <w:t>Philip J. Ferneau, M.B.A., J.D.</w:t>
            </w:r>
          </w:p>
        </w:tc>
        <w:tc>
          <w:tcPr>
            <w:tcW w:w="4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40" w:type="dxa"/>
            <w:vAlign w:val="bottom"/>
            <w:gridSpan w:val="3"/>
            <w:vMerge w:val="continue"/>
          </w:tcPr>
          <w:p>
            <w:pPr>
              <w:spacing w:after="0"/>
              <w:rPr>
                <w:sz w:val="24"/>
                <w:szCs w:val="24"/>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24"/>
                <w:szCs w:val="24"/>
                <w:color w:val="auto"/>
                <w:w w:val="99"/>
              </w:rPr>
              <w:t>General Counsel &amp; Corporate Secretary</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Co-Founder &amp; Managing Partner</w:t>
            </w:r>
          </w:p>
        </w:tc>
        <w:tc>
          <w:tcPr>
            <w:tcW w:w="4040" w:type="dxa"/>
            <w:vAlign w:val="bottom"/>
            <w:vMerge w:val="restart"/>
          </w:tcPr>
          <w:p>
            <w:pPr>
              <w:ind w:left="220"/>
              <w:spacing w:after="0"/>
              <w:rPr>
                <w:sz w:val="20"/>
                <w:szCs w:val="20"/>
                <w:color w:val="auto"/>
              </w:rPr>
            </w:pPr>
            <w:r>
              <w:rPr>
                <w:rFonts w:ascii="Times New Roman" w:cs="Times New Roman" w:eastAsia="Times New Roman" w:hAnsi="Times New Roman"/>
                <w:sz w:val="24"/>
                <w:szCs w:val="24"/>
                <w:b w:val="1"/>
                <w:bCs w:val="1"/>
                <w:color w:val="auto"/>
              </w:rPr>
              <w:t>Arjun Prasad, MBA, MPH</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Borealis Ventures</w:t>
            </w:r>
          </w:p>
        </w:tc>
        <w:tc>
          <w:tcPr>
            <w:tcW w:w="4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24"/>
                <w:szCs w:val="24"/>
                <w:b w:val="1"/>
                <w:bCs w:val="1"/>
                <w:color w:val="auto"/>
              </w:rPr>
              <w:t>Ellen V. Chiniara, J.D.</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Chief Commercial Officer</w:t>
            </w:r>
          </w:p>
        </w:tc>
        <w:tc>
          <w:tcPr>
            <w:tcW w:w="0" w:type="dxa"/>
            <w:vAlign w:val="bottom"/>
          </w:tcPr>
          <w:p>
            <w:pPr>
              <w:spacing w:after="0"/>
              <w:rPr>
                <w:sz w:val="1"/>
                <w:szCs w:val="1"/>
                <w:color w:val="auto"/>
              </w:rPr>
            </w:pPr>
          </w:p>
        </w:tc>
      </w:tr>
      <w:tr>
        <w:trPr>
          <w:trHeight w:val="232"/>
        </w:trPr>
        <w:tc>
          <w:tcPr>
            <w:tcW w:w="4940" w:type="dxa"/>
            <w:vAlign w:val="bottom"/>
            <w:gridSpan w:val="3"/>
            <w:vMerge w:val="continue"/>
          </w:tcPr>
          <w:p>
            <w:pPr>
              <w:spacing w:after="0"/>
              <w:rPr>
                <w:sz w:val="20"/>
                <w:szCs w:val="20"/>
                <w:color w:val="auto"/>
              </w:rPr>
            </w:pPr>
          </w:p>
        </w:tc>
        <w:tc>
          <w:tcPr>
            <w:tcW w:w="4040" w:type="dxa"/>
            <w:vAlign w:val="bottom"/>
            <w:vMerge w:val="restart"/>
          </w:tcPr>
          <w:p>
            <w:pPr>
              <w:ind w:left="220"/>
              <w:spacing w:after="0"/>
              <w:rPr>
                <w:sz w:val="20"/>
                <w:szCs w:val="20"/>
                <w:color w:val="auto"/>
              </w:rPr>
            </w:pPr>
            <w:r>
              <w:rPr>
                <w:rFonts w:ascii="Times New Roman" w:cs="Times New Roman" w:eastAsia="Times New Roman" w:hAnsi="Times New Roman"/>
                <w:sz w:val="24"/>
                <w:szCs w:val="24"/>
                <w:b w:val="1"/>
                <w:bCs w:val="1"/>
                <w:color w:val="auto"/>
              </w:rPr>
              <w:t>Cynthia Sirard, M.D., Ph.D.</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Retired Chief Legal Officer and Corp. Secretary</w:t>
            </w:r>
          </w:p>
        </w:tc>
        <w:tc>
          <w:tcPr>
            <w:tcW w:w="4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Kymera Therapeutics, Inc.</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Chief Medical Officer</w:t>
            </w:r>
          </w:p>
        </w:tc>
        <w:tc>
          <w:tcPr>
            <w:tcW w:w="0" w:type="dxa"/>
            <w:vAlign w:val="bottom"/>
          </w:tcPr>
          <w:p>
            <w:pPr>
              <w:spacing w:after="0"/>
              <w:rPr>
                <w:sz w:val="1"/>
                <w:szCs w:val="1"/>
                <w:color w:val="auto"/>
              </w:rPr>
            </w:pPr>
          </w:p>
        </w:tc>
      </w:tr>
      <w:tr>
        <w:trPr>
          <w:trHeight w:val="508"/>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Mary Ann Gray, Ph.D.</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b w:val="1"/>
                <w:bCs w:val="1"/>
                <w:color w:val="auto"/>
              </w:rPr>
              <w:t>Bing Gong, Ph.D.</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President</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Chief Scientific Officer</w:t>
            </w:r>
          </w:p>
        </w:tc>
        <w:tc>
          <w:tcPr>
            <w:tcW w:w="0" w:type="dxa"/>
            <w:vAlign w:val="bottom"/>
          </w:tcPr>
          <w:p>
            <w:pPr>
              <w:spacing w:after="0"/>
              <w:rPr>
                <w:sz w:val="1"/>
                <w:szCs w:val="1"/>
                <w:color w:val="auto"/>
              </w:rPr>
            </w:pPr>
          </w:p>
        </w:tc>
      </w:tr>
      <w:tr>
        <w:trPr>
          <w:trHeight w:val="32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Gray Strategic Advisors, LLC</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James P. Boylan, M.B.A.</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Chief Executive Officer</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Enavate Sciences</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b w:val="1"/>
                <w:bCs w:val="1"/>
                <w:color w:val="auto"/>
              </w:rPr>
              <w:t>Richard S. Lindahl, M.B.A.</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Chief Financial Officer and Treasurer</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Emergent BioSolutions, Inc.</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CORPORATE OFFICES</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b w:val="1"/>
                <w:bCs w:val="1"/>
                <w:color w:val="auto"/>
              </w:rPr>
              <w:t>PUBLIC ACCOUNTING FIRM</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80 Guest St., #601</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CohnReznick, LLP</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Boston, MA 02135</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NY, NY</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CORPORATE INFORMATION</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b w:val="1"/>
                <w:bCs w:val="1"/>
                <w:color w:val="auto"/>
              </w:rPr>
              <w:t>TRANSFER AGENT</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920" w:type="dxa"/>
            <w:vAlign w:val="bottom"/>
            <w:gridSpan w:val="2"/>
          </w:tcPr>
          <w:p>
            <w:pPr>
              <w:spacing w:after="0" w:line="274" w:lineRule="exact"/>
              <w:rPr>
                <w:sz w:val="20"/>
                <w:szCs w:val="20"/>
                <w:color w:val="auto"/>
              </w:rPr>
            </w:pPr>
            <w:r>
              <w:rPr>
                <w:rFonts w:ascii="Times New Roman" w:cs="Times New Roman" w:eastAsia="Times New Roman" w:hAnsi="Times New Roman"/>
                <w:sz w:val="24"/>
                <w:szCs w:val="24"/>
                <w:color w:val="1C2790"/>
              </w:rPr>
              <w:t>www.compasstherapeutics.com</w:t>
            </w:r>
          </w:p>
        </w:tc>
        <w:tc>
          <w:tcPr>
            <w:tcW w:w="4040" w:type="dxa"/>
            <w:vAlign w:val="bottom"/>
          </w:tcPr>
          <w:p>
            <w:pPr>
              <w:ind w:left="220"/>
              <w:spacing w:after="0" w:line="274" w:lineRule="exact"/>
              <w:rPr>
                <w:sz w:val="20"/>
                <w:szCs w:val="20"/>
                <w:color w:val="auto"/>
              </w:rPr>
            </w:pPr>
            <w:r>
              <w:rPr>
                <w:rFonts w:ascii="Times New Roman" w:cs="Times New Roman" w:eastAsia="Times New Roman" w:hAnsi="Times New Roman"/>
                <w:sz w:val="24"/>
                <w:szCs w:val="24"/>
                <w:color w:val="auto"/>
              </w:rPr>
              <w:t>Equiniti Trust Company, LLC (“EQ”)</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1C279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40" w:type="dxa"/>
            <w:vAlign w:val="bottom"/>
            <w:vMerge w:val="restart"/>
          </w:tcPr>
          <w:p>
            <w:pPr>
              <w:ind w:left="220"/>
              <w:spacing w:after="0"/>
              <w:rPr>
                <w:sz w:val="20"/>
                <w:szCs w:val="20"/>
                <w:color w:val="auto"/>
              </w:rPr>
            </w:pPr>
            <w:r>
              <w:rPr>
                <w:rFonts w:ascii="Times New Roman" w:cs="Times New Roman" w:eastAsia="Times New Roman" w:hAnsi="Times New Roman"/>
                <w:sz w:val="24"/>
                <w:szCs w:val="24"/>
                <w:color w:val="auto"/>
              </w:rPr>
              <w:t>55 Challenger Road, Floor 2</w:t>
            </w: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920" w:type="dxa"/>
            <w:vAlign w:val="bottom"/>
            <w:gridSpan w:val="2"/>
          </w:tcPr>
          <w:p>
            <w:pPr>
              <w:spacing w:after="0" w:line="258" w:lineRule="exact"/>
              <w:rPr>
                <w:sz w:val="20"/>
                <w:szCs w:val="20"/>
                <w:color w:val="auto"/>
              </w:rPr>
            </w:pPr>
            <w:r>
              <w:rPr>
                <w:rFonts w:ascii="Times New Roman" w:cs="Times New Roman" w:eastAsia="Times New Roman" w:hAnsi="Times New Roman"/>
                <w:sz w:val="24"/>
                <w:szCs w:val="24"/>
                <w:color w:val="auto"/>
              </w:rPr>
              <w:t>Stock symbol: CMPX (NASDAQ)</w:t>
            </w:r>
          </w:p>
        </w:tc>
        <w:tc>
          <w:tcPr>
            <w:tcW w:w="4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b w:val="1"/>
                <w:bCs w:val="1"/>
                <w:color w:val="auto"/>
              </w:rPr>
              <w:t>INVESTOR RELATIONS</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Ridgefield Park, NJ 07660</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https://equiniti.com</w:t>
            </w:r>
          </w:p>
        </w:tc>
        <w:tc>
          <w:tcPr>
            <w:tcW w:w="0" w:type="dxa"/>
            <w:vAlign w:val="bottom"/>
          </w:tcPr>
          <w:p>
            <w:pPr>
              <w:spacing w:after="0"/>
              <w:rPr>
                <w:sz w:val="1"/>
                <w:szCs w:val="1"/>
                <w:color w:val="auto"/>
              </w:rPr>
            </w:pPr>
          </w:p>
        </w:tc>
      </w:tr>
      <w:tr>
        <w:trPr>
          <w:trHeight w:val="276"/>
        </w:trPr>
        <w:tc>
          <w:tcPr>
            <w:tcW w:w="49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ir@compasstherapeutics.com</w:t>
            </w: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helpast@equiniti.com</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800-937-5449</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718-921-8124</w:t>
            </w:r>
          </w:p>
        </w:tc>
        <w:tc>
          <w:tcPr>
            <w:tcW w:w="0" w:type="dxa"/>
            <w:vAlign w:val="bottom"/>
          </w:tcPr>
          <w:p>
            <w:pPr>
              <w:spacing w:after="0"/>
              <w:rPr>
                <w:sz w:val="1"/>
                <w:szCs w:val="1"/>
                <w:color w:val="auto"/>
              </w:rPr>
            </w:pPr>
          </w:p>
        </w:tc>
      </w:tr>
      <w:tr>
        <w:trPr>
          <w:trHeight w:val="527"/>
        </w:trPr>
        <w:tc>
          <w:tcPr>
            <w:tcW w:w="4940" w:type="dxa"/>
            <w:vAlign w:val="bottom"/>
            <w:gridSpan w:val="3"/>
          </w:tcPr>
          <w:p>
            <w:pPr>
              <w:ind w:left="4440"/>
              <w:spacing w:after="0"/>
              <w:rPr>
                <w:sz w:val="20"/>
                <w:szCs w:val="20"/>
                <w:color w:val="auto"/>
              </w:rPr>
            </w:pPr>
            <w:r>
              <w:rPr>
                <w:rFonts w:ascii="Arial" w:cs="Arial" w:eastAsia="Arial" w:hAnsi="Arial"/>
                <w:sz w:val="20"/>
                <w:szCs w:val="20"/>
                <w:color w:val="auto"/>
              </w:rPr>
              <w:t>130</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-2678430</wp:posOffset>
            </wp:positionV>
            <wp:extent cx="5767705"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2">
                      <a:extLst>
                        <a:ext uri="{28A0092B-C50C-407E-A947-70E740481C1C}"/>
                      </a:extLst>
                    </a:blip>
                    <a:srcRect/>
                    <a:stretch>
                      <a:fillRect/>
                    </a:stretch>
                  </pic:blipFill>
                  <pic:spPr bwMode="auto">
                    <a:xfrm>
                      <a:off x="0" y="0"/>
                      <a:ext cx="5767705" cy="23495"/>
                    </a:xfrm>
                    <a:prstGeom prst="rect">
                      <a:avLst/>
                    </a:prstGeom>
                    <a:noFill/>
                  </pic:spPr>
                </pic:pic>
              </a:graphicData>
            </a:graphic>
          </wp:anchor>
        </w:drawing>
      </w:r>
    </w:p>
    <w:p>
      <w:pPr>
        <w:sectPr>
          <w:pgSz w:w="12240" w:h="15840" w:orient="portrait"/>
          <w:cols w:equalWidth="0" w:num="1">
            <w:col w:w="9360"/>
          </w:cols>
          <w:pgMar w:left="1440" w:top="1440" w:right="1440" w:bottom="353"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2077085</wp:posOffset>
            </wp:positionH>
            <wp:positionV relativeFrom="page">
              <wp:posOffset>3581400</wp:posOffset>
            </wp:positionV>
            <wp:extent cx="3928745" cy="11430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928745"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b w:val="1"/>
          <w:bCs w:val="1"/>
          <w:color w:val="auto"/>
        </w:rPr>
        <w:t>80 Guest Street Suite 601</w:t>
      </w:r>
    </w:p>
    <w:p>
      <w:pPr>
        <w:spacing w:after="0" w:line="4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8"/>
          <w:szCs w:val="28"/>
          <w:b w:val="1"/>
          <w:bCs w:val="1"/>
          <w:color w:val="auto"/>
        </w:rPr>
        <w:t>Boston, MA 02135</w:t>
      </w:r>
    </w:p>
    <w:p>
      <w:pPr>
        <w:ind w:left="4480" w:hanging="676"/>
        <w:spacing w:after="0"/>
        <w:tabs>
          <w:tab w:leader="none" w:pos="4480" w:val="left"/>
        </w:tabs>
        <w:numPr>
          <w:ilvl w:val="0"/>
          <w:numId w:val="6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500-8099</w:t>
      </w:r>
    </w:p>
    <w:p>
      <w:pPr>
        <w:ind w:left="282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7"/>
          <w:szCs w:val="27"/>
          <w:b w:val="1"/>
          <w:bCs w:val="1"/>
          <w:color w:val="auto"/>
        </w:rPr>
        <w:t>www.compasstherapeutics.com</w:t>
      </w:r>
    </w:p>
    <w:p>
      <w:pPr>
        <w:sectPr>
          <w:pgSz w:w="12240" w:h="15840" w:orient="portrait"/>
          <w:cols w:equalWidth="0" w:num="1">
            <w:col w:w="9360"/>
          </w:cols>
          <w:pgMar w:left="1440" w:top="1440" w:right="144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sectPr>
      <w:pgSz w:w="12240" w:h="15840" w:orient="portrait"/>
      <w:cols w:equalWidth="0" w:num="1">
        <w:col w:w="9360"/>
      </w:cols>
      <w:pgMar w:left="1440" w:top="1440" w:right="1440" w:bottom="4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x"/>
      <w:numFmt w:val="bullet"/>
      <w:start w:val="1"/>
    </w:lvl>
  </w:abstractNum>
  <w:abstractNum w:abstractNumId="4">
    <w:nsid w:val="440BADFC"/>
    <w:multiLevelType w:val="hybridMultilevel"/>
    <w:lvl w:ilvl="0">
      <w:lvlJc w:val="left"/>
      <w:lvlText w:val="x"/>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x"/>
      <w:numFmt w:val="bullet"/>
      <w:start w:val="1"/>
    </w:lvl>
  </w:abstractNum>
  <w:abstractNum w:abstractNumId="7">
    <w:nsid w:val="77465F01"/>
    <w:multiLevelType w:val="hybridMultilevel"/>
    <w:lvl w:ilvl="0">
      <w:lvlJc w:val="left"/>
      <w:lvlText w:val="x"/>
      <w:numFmt w:val="bullet"/>
      <w:start w:val="1"/>
    </w:lvl>
  </w:abstractNum>
  <w:abstractNum w:abstractNumId="8">
    <w:nsid w:val="7724C67E"/>
    <w:multiLevelType w:val="hybridMultilevel"/>
    <w:lvl w:ilvl="0">
      <w:lvlJc w:val="left"/>
      <w:lvlText w:val="x"/>
      <w:numFmt w:val="bullet"/>
      <w:start w:val="1"/>
    </w:lvl>
  </w:abstractNum>
  <w:abstractNum w:abstractNumId="9">
    <w:nsid w:val="5C482A97"/>
    <w:multiLevelType w:val="hybridMultilevel"/>
    <w:lvl w:ilvl="0">
      <w:lvlJc w:val="left"/>
      <w:lvlText w:val="x"/>
      <w:numFmt w:val="bullet"/>
      <w:start w:val="1"/>
    </w:lvl>
  </w:abstractNum>
  <w:abstractNum w:abstractNumId="10">
    <w:nsid w:val="2463B9EA"/>
    <w:multiLevelType w:val="hybridMultilevel"/>
    <w:lvl w:ilvl="0">
      <w:lvlJc w:val="left"/>
      <w:lvlText w:val="x"/>
      <w:numFmt w:val="bullet"/>
      <w:start w:val="1"/>
    </w:lvl>
  </w:abstractNum>
  <w:abstractNum w:abstractNumId="11">
    <w:nsid w:val="5E884ADC"/>
    <w:multiLevelType w:val="hybridMultilevel"/>
    <w:lvl w:ilvl="0">
      <w:lvlJc w:val="left"/>
      <w:lvlText w:val="x"/>
      <w:numFmt w:val="bullet"/>
      <w:start w:val="1"/>
    </w:lvl>
  </w:abstractNum>
  <w:abstractNum w:abstractNumId="12">
    <w:nsid w:val="51EAD36B"/>
    <w:multiLevelType w:val="hybridMultilevel"/>
    <w:lvl w:ilvl="0">
      <w:lvlJc w:val="left"/>
      <w:lvlText w:val="x"/>
      <w:numFmt w:val="bullet"/>
      <w:start w:val="1"/>
    </w:lvl>
  </w:abstractNum>
  <w:abstractNum w:abstractNumId="13">
    <w:nsid w:val="2D517796"/>
    <w:multiLevelType w:val="hybridMultilevel"/>
    <w:lvl w:ilvl="0">
      <w:lvlJc w:val="left"/>
      <w:lvlText w:val="x"/>
      <w:numFmt w:val="bullet"/>
      <w:start w:val="1"/>
    </w:lvl>
  </w:abstractNum>
  <w:abstractNum w:abstractNumId="14">
    <w:nsid w:val="580BD78F"/>
    <w:multiLevelType w:val="hybridMultilevel"/>
    <w:lvl w:ilvl="0">
      <w:lvlJc w:val="left"/>
      <w:lvlText w:val="x"/>
      <w:numFmt w:val="bullet"/>
      <w:start w:val="1"/>
    </w:lvl>
  </w:abstractNum>
  <w:abstractNum w:abstractNumId="15">
    <w:nsid w:val="153EA438"/>
    <w:multiLevelType w:val="hybridMultilevel"/>
    <w:lvl w:ilvl="0">
      <w:lvlJc w:val="left"/>
      <w:lvlText w:val="x"/>
      <w:numFmt w:val="bullet"/>
      <w:start w:val="1"/>
    </w:lvl>
  </w:abstractNum>
  <w:abstractNum w:abstractNumId="16">
    <w:nsid w:val="3855585C"/>
    <w:multiLevelType w:val="hybridMultilevel"/>
    <w:lvl w:ilvl="0">
      <w:lvlJc w:val="left"/>
      <w:lvlText w:val="x"/>
      <w:numFmt w:val="bullet"/>
      <w:start w:val="1"/>
    </w:lvl>
  </w:abstractNum>
  <w:abstractNum w:abstractNumId="17">
    <w:nsid w:val="70A64E2A"/>
    <w:multiLevelType w:val="hybridMultilevel"/>
    <w:lvl w:ilvl="0">
      <w:lvlJc w:val="left"/>
      <w:lvlText w:val="x"/>
      <w:numFmt w:val="bullet"/>
      <w:start w:val="1"/>
    </w:lvl>
  </w:abstractNum>
  <w:abstractNum w:abstractNumId="18">
    <w:nsid w:val="6A2342EC"/>
    <w:multiLevelType w:val="hybridMultilevel"/>
    <w:lvl w:ilvl="0">
      <w:lvlJc w:val="left"/>
      <w:lvlText w:val="x"/>
      <w:numFmt w:val="bullet"/>
      <w:start w:val="1"/>
    </w:lvl>
  </w:abstractNum>
  <w:abstractNum w:abstractNumId="19">
    <w:nsid w:val="2A487CB0"/>
    <w:multiLevelType w:val="hybridMultilevel"/>
    <w:lvl w:ilvl="0">
      <w:lvlJc w:val="left"/>
      <w:lvlText w:val="x"/>
      <w:numFmt w:val="bullet"/>
      <w:start w:val="1"/>
    </w:lvl>
  </w:abstractNum>
  <w:abstractNum w:abstractNumId="20">
    <w:nsid w:val="1D4ED43B"/>
    <w:multiLevelType w:val="hybridMultilevel"/>
    <w:lvl w:ilvl="0">
      <w:lvlJc w:val="left"/>
      <w:lvlText w:val="x"/>
      <w:numFmt w:val="bullet"/>
      <w:start w:val="1"/>
    </w:lvl>
  </w:abstractNum>
  <w:abstractNum w:abstractNumId="21">
    <w:nsid w:val="725A06FB"/>
    <w:multiLevelType w:val="hybridMultilevel"/>
    <w:lvl w:ilvl="0">
      <w:lvlJc w:val="left"/>
      <w:lvlText w:val="x"/>
      <w:numFmt w:val="bullet"/>
      <w:start w:val="1"/>
    </w:lvl>
  </w:abstractNum>
  <w:abstractNum w:abstractNumId="22">
    <w:nsid w:val="2CD89A32"/>
    <w:multiLevelType w:val="hybridMultilevel"/>
    <w:lvl w:ilvl="0">
      <w:lvlJc w:val="left"/>
      <w:lvlText w:val="x"/>
      <w:numFmt w:val="bullet"/>
      <w:start w:val="1"/>
    </w:lvl>
  </w:abstractNum>
  <w:abstractNum w:abstractNumId="23">
    <w:nsid w:val="57E4CCAF"/>
    <w:multiLevelType w:val="hybridMultilevel"/>
    <w:lvl w:ilvl="0">
      <w:lvlJc w:val="left"/>
      <w:lvlText w:val="x"/>
      <w:numFmt w:val="bullet"/>
      <w:start w:val="1"/>
    </w:lvl>
  </w:abstractNum>
  <w:abstractNum w:abstractNumId="24">
    <w:nsid w:val="7A6D8D3C"/>
    <w:multiLevelType w:val="hybridMultilevel"/>
    <w:lvl w:ilvl="0">
      <w:lvlJc w:val="left"/>
      <w:lvlText w:val="x"/>
      <w:numFmt w:val="bullet"/>
      <w:start w:val="1"/>
    </w:lvl>
  </w:abstractNum>
  <w:abstractNum w:abstractNumId="25">
    <w:nsid w:val="4B588F54"/>
    <w:multiLevelType w:val="hybridMultilevel"/>
    <w:lvl w:ilvl="0">
      <w:lvlJc w:val="left"/>
      <w:lvlText w:val="x"/>
      <w:numFmt w:val="bullet"/>
      <w:start w:val="1"/>
    </w:lvl>
  </w:abstractNum>
  <w:abstractNum w:abstractNumId="26">
    <w:nsid w:val="542289EC"/>
    <w:multiLevelType w:val="hybridMultilevel"/>
    <w:lvl w:ilvl="0">
      <w:lvlJc w:val="left"/>
      <w:lvlText w:val="x"/>
      <w:numFmt w:val="bullet"/>
      <w:start w:val="1"/>
    </w:lvl>
  </w:abstractNum>
  <w:abstractNum w:abstractNumId="27">
    <w:nsid w:val="6DE91B18"/>
    <w:multiLevelType w:val="hybridMultilevel"/>
    <w:lvl w:ilvl="0">
      <w:lvlJc w:val="left"/>
      <w:lvlText w:val="x"/>
      <w:numFmt w:val="bullet"/>
      <w:start w:val="1"/>
    </w:lvl>
  </w:abstractNum>
  <w:abstractNum w:abstractNumId="28">
    <w:nsid w:val="38437FDB"/>
    <w:multiLevelType w:val="hybridMultilevel"/>
    <w:lvl w:ilvl="0">
      <w:lvlJc w:val="left"/>
      <w:lvlText w:val="x"/>
      <w:numFmt w:val="bullet"/>
      <w:start w:val="1"/>
    </w:lvl>
  </w:abstractNum>
  <w:abstractNum w:abstractNumId="29">
    <w:nsid w:val="7644A45C"/>
    <w:multiLevelType w:val="hybridMultilevel"/>
    <w:lvl w:ilvl="0">
      <w:lvlJc w:val="left"/>
      <w:lvlText w:val="x"/>
      <w:numFmt w:val="bullet"/>
      <w:start w:val="1"/>
    </w:lvl>
  </w:abstractNum>
  <w:abstractNum w:abstractNumId="30">
    <w:nsid w:val="32FFF902"/>
    <w:multiLevelType w:val="hybridMultilevel"/>
    <w:lvl w:ilvl="0">
      <w:lvlJc w:val="left"/>
      <w:lvlText w:val="x"/>
      <w:numFmt w:val="bullet"/>
      <w:start w:val="1"/>
    </w:lvl>
  </w:abstractNum>
  <w:abstractNum w:abstractNumId="31">
    <w:nsid w:val="684A481A"/>
    <w:multiLevelType w:val="hybridMultilevel"/>
    <w:lvl w:ilvl="0">
      <w:lvlJc w:val="left"/>
      <w:lvlText w:val="x"/>
      <w:numFmt w:val="bullet"/>
      <w:start w:val="1"/>
    </w:lvl>
  </w:abstractNum>
  <w:abstractNum w:abstractNumId="32">
    <w:nsid w:val="579478FE"/>
    <w:multiLevelType w:val="hybridMultilevel"/>
    <w:lvl w:ilvl="0">
      <w:lvlJc w:val="left"/>
      <w:lvlText w:val="x"/>
      <w:numFmt w:val="bullet"/>
      <w:start w:val="1"/>
    </w:lvl>
  </w:abstractNum>
  <w:abstractNum w:abstractNumId="33">
    <w:nsid w:val="749ABB43"/>
    <w:multiLevelType w:val="hybridMultilevel"/>
    <w:lvl w:ilvl="0">
      <w:lvlJc w:val="left"/>
      <w:lvlText w:val="x"/>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x"/>
      <w:numFmt w:val="bullet"/>
      <w:start w:val="1"/>
    </w:lvl>
  </w:abstractNum>
  <w:abstractNum w:abstractNumId="36">
    <w:nsid w:val="79A1DEAA"/>
    <w:multiLevelType w:val="hybridMultilevel"/>
    <w:lvl w:ilvl="0">
      <w:lvlJc w:val="left"/>
      <w:lvlText w:val="x"/>
      <w:numFmt w:val="bullet"/>
      <w:start w:val="1"/>
    </w:lvl>
  </w:abstractNum>
  <w:abstractNum w:abstractNumId="37">
    <w:nsid w:val="75C6C33A"/>
    <w:multiLevelType w:val="hybridMultilevel"/>
    <w:lvl w:ilvl="0">
      <w:lvlJc w:val="left"/>
      <w:lvlText w:val="x"/>
      <w:numFmt w:val="bullet"/>
      <w:start w:val="1"/>
    </w:lvl>
  </w:abstractNum>
  <w:abstractNum w:abstractNumId="38">
    <w:nsid w:val="12E685FB"/>
    <w:multiLevelType w:val="hybridMultilevel"/>
    <w:lvl w:ilvl="0">
      <w:lvlJc w:val="left"/>
      <w:lvlText w:val="x"/>
      <w:numFmt w:val="bullet"/>
      <w:start w:val="1"/>
    </w:lvl>
  </w:abstractNum>
  <w:abstractNum w:abstractNumId="39">
    <w:nsid w:val="70C6A529"/>
    <w:multiLevelType w:val="hybridMultilevel"/>
    <w:lvl w:ilvl="0">
      <w:lvlJc w:val="left"/>
      <w:lvlText w:val="x"/>
      <w:numFmt w:val="bullet"/>
      <w:start w:val="1"/>
    </w:lvl>
  </w:abstractNum>
  <w:abstractNum w:abstractNumId="40">
    <w:nsid w:val="520EEDD1"/>
    <w:multiLevelType w:val="hybridMultilevel"/>
    <w:lvl w:ilvl="0">
      <w:lvlJc w:val="left"/>
      <w:lvlText w:val="x"/>
      <w:numFmt w:val="bullet"/>
      <w:start w:val="1"/>
    </w:lvl>
  </w:abstractNum>
  <w:abstractNum w:abstractNumId="41">
    <w:nsid w:val="374A3FE6"/>
    <w:multiLevelType w:val="hybridMultilevel"/>
    <w:lvl w:ilvl="0">
      <w:lvlJc w:val="left"/>
      <w:lvlText w:val="(%1)"/>
      <w:numFmt w:val="lowerRoman"/>
      <w:start w:val="3"/>
    </w:lvl>
  </w:abstractNum>
  <w:abstractNum w:abstractNumId="42">
    <w:nsid w:val="4F4EF005"/>
    <w:multiLevelType w:val="hybridMultilevel"/>
    <w:lvl w:ilvl="0">
      <w:lvlJc w:val="left"/>
      <w:lvlText w:val="x"/>
      <w:numFmt w:val="bullet"/>
      <w:start w:val="1"/>
    </w:lvl>
  </w:abstractNum>
  <w:abstractNum w:abstractNumId="43">
    <w:nsid w:val="23F9C13C"/>
    <w:multiLevelType w:val="hybridMultilevel"/>
    <w:lvl w:ilvl="0">
      <w:lvlJc w:val="left"/>
      <w:lvlText w:val="x"/>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x"/>
      <w:numFmt w:val="bullet"/>
      <w:start w:val="1"/>
    </w:lvl>
  </w:abstractNum>
  <w:abstractNum w:abstractNumId="46">
    <w:nsid w:val="39386575"/>
    <w:multiLevelType w:val="hybridMultilevel"/>
    <w:lvl w:ilvl="0">
      <w:lvlJc w:val="left"/>
      <w:lvlText w:val="x"/>
      <w:numFmt w:val="bullet"/>
      <w:start w:val="1"/>
    </w:lvl>
  </w:abstractNum>
  <w:abstractNum w:abstractNumId="47">
    <w:nsid w:val="1CF10FD8"/>
    <w:multiLevelType w:val="hybridMultilevel"/>
    <w:lvl w:ilvl="0">
      <w:lvlJc w:val="left"/>
      <w:lvlText w:val="x"/>
      <w:numFmt w:val="bullet"/>
      <w:start w:val="1"/>
    </w:lvl>
  </w:abstractNum>
  <w:abstractNum w:abstractNumId="48">
    <w:nsid w:val="180115BE"/>
    <w:multiLevelType w:val="hybridMultilevel"/>
    <w:lvl w:ilvl="0">
      <w:lvlJc w:val="left"/>
      <w:lvlText w:val="x"/>
      <w:numFmt w:val="bullet"/>
      <w:start w:val="1"/>
    </w:lvl>
  </w:abstractNum>
  <w:abstractNum w:abstractNumId="49">
    <w:nsid w:val="235BA861"/>
    <w:multiLevelType w:val="hybridMultilevel"/>
    <w:lvl w:ilvl="0">
      <w:lvlJc w:val="left"/>
      <w:lvlText w:val="x"/>
      <w:numFmt w:val="bullet"/>
      <w:start w:val="1"/>
    </w:lvl>
  </w:abstractNum>
  <w:abstractNum w:abstractNumId="50">
    <w:nsid w:val="47398C89"/>
    <w:multiLevelType w:val="hybridMultilevel"/>
    <w:lvl w:ilvl="0">
      <w:lvlJc w:val="left"/>
      <w:lvlText w:val="x"/>
      <w:numFmt w:val="bullet"/>
      <w:start w:val="1"/>
    </w:lvl>
  </w:abstractNum>
  <w:abstractNum w:abstractNumId="51">
    <w:nsid w:val="354FE9F9"/>
    <w:multiLevelType w:val="hybridMultilevel"/>
    <w:lvl w:ilvl="0">
      <w:lvlJc w:val="left"/>
      <w:lvlText w:val="x"/>
      <w:numFmt w:val="bullet"/>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
    </w:lvl>
    <w:lvl w:ilvl="1">
      <w:lvlJc w:val="left"/>
      <w:lvlText w:val="%2."/>
      <w:numFmt w:val="decimal"/>
      <w:start w:val="2"/>
    </w:lvl>
  </w:abstractNum>
  <w:abstractNum w:abstractNumId="54">
    <w:nsid w:val="D34B6A8"/>
    <w:multiLevelType w:val="hybridMultilevel"/>
    <w:lvl w:ilvl="0">
      <w:lvlJc w:val="left"/>
      <w:lvlText w:val="%1."/>
      <w:numFmt w:val="decimal"/>
      <w:start w:val="3"/>
    </w:lvl>
  </w:abstractNum>
  <w:abstractNum w:abstractNumId="55">
    <w:nsid w:val="10233C99"/>
    <w:multiLevelType w:val="hybridMultilevel"/>
    <w:lvl w:ilvl="0">
      <w:lvlJc w:val="left"/>
      <w:lvlText w:val="x"/>
      <w:numFmt w:val="bullet"/>
      <w:start w:val="1"/>
    </w:lvl>
  </w:abstractNum>
  <w:abstractNum w:abstractNumId="56">
    <w:nsid w:val="3F6AB60F"/>
    <w:multiLevelType w:val="hybridMultilevel"/>
    <w:lvl w:ilvl="0">
      <w:lvlJc w:val="left"/>
      <w:lvlText w:val="%1."/>
      <w:numFmt w:val="decimal"/>
      <w:start w:val="4"/>
    </w:lvl>
  </w:abstractNum>
  <w:abstractNum w:abstractNumId="57">
    <w:nsid w:val="61574095"/>
    <w:multiLevelType w:val="hybridMultilevel"/>
    <w:lvl w:ilvl="0">
      <w:lvlJc w:val="left"/>
      <w:lvlText w:val="%1."/>
      <w:numFmt w:val="decimal"/>
      <w:start w:val="5"/>
    </w:lvl>
  </w:abstractNum>
  <w:abstractNum w:abstractNumId="58">
    <w:nsid w:val="7E0C57B1"/>
    <w:multiLevelType w:val="hybridMultilevel"/>
    <w:lvl w:ilvl="0">
      <w:lvlJc w:val="left"/>
      <w:lvlText w:val="%1."/>
      <w:numFmt w:val="decimal"/>
      <w:start w:val="7"/>
    </w:lvl>
  </w:abstractNum>
  <w:abstractNum w:abstractNumId="59">
    <w:nsid w:val="77AE35EB"/>
    <w:multiLevelType w:val="hybridMultilevel"/>
    <w:lvl w:ilvl="0">
      <w:lvlJc w:val="left"/>
      <w:lvlText w:val="%1."/>
      <w:numFmt w:val="decimal"/>
      <w:start w:val="8"/>
    </w:lvl>
  </w:abstractNum>
  <w:abstractNum w:abstractNumId="60">
    <w:nsid w:val="579BE4F1"/>
    <w:multiLevelType w:val="hybridMultilevel"/>
    <w:lvl w:ilvl="0">
      <w:lvlJc w:val="left"/>
      <w:lvlText w:val="%1."/>
      <w:numFmt w:val="decimal"/>
      <w:start w:val="9"/>
    </w:lvl>
  </w:abstractNum>
  <w:abstractNum w:abstractNumId="61">
    <w:nsid w:val="310C50B3"/>
    <w:multiLevelType w:val="hybridMultilevel"/>
    <w:lvl w:ilvl="0">
      <w:lvlJc w:val="left"/>
      <w:lvlText w:val="%1."/>
      <w:numFmt w:val="decimal"/>
      <w:start w:val="10"/>
    </w:lvl>
  </w:abstractNum>
  <w:abstractNum w:abstractNumId="62">
    <w:nsid w:val="5FF87E05"/>
    <w:multiLevelType w:val="hybridMultilevel"/>
    <w:lvl w:ilvl="0">
      <w:lvlJc w:val="left"/>
      <w:lvlText w:val="%1."/>
      <w:numFmt w:val="decimal"/>
      <w:start w:val="11"/>
    </w:lvl>
  </w:abstractNum>
  <w:abstractNum w:abstractNumId="63">
    <w:nsid w:val="2F305DEF"/>
    <w:multiLevelType w:val="hybridMultilevel"/>
    <w:lvl w:ilvl="0">
      <w:lvlJc w:val="left"/>
      <w:lvlText w:val="%1."/>
      <w:numFmt w:val="decimal"/>
      <w:start w:val="13"/>
    </w:lvl>
  </w:abstractNum>
  <w:abstractNum w:abstractNumId="64">
    <w:nsid w:val="25A70BF7"/>
    <w:multiLevelType w:val="hybridMultilevel"/>
    <w:lvl w:ilvl="0">
      <w:lvlJc w:val="left"/>
      <w:lvlText w:val="%1."/>
      <w:numFmt w:val="decimal"/>
      <w:start w:val="15"/>
    </w:lvl>
  </w:abstractNum>
  <w:abstractNum w:abstractNumId="65">
    <w:nsid w:val="1DBABF00"/>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2026-04-29T07:16:44Z</dcterms:created>
  <dcterms:modified xsi:type="dcterms:W3CDTF">2026-04-29T07:16:44Z</dcterms:modified>
</cp:coreProperties>
</file>