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20"/>
        <w:spacing w:after="0"/>
        <w:rPr>
          <w:sz w:val="20"/>
          <w:szCs w:val="20"/>
          <w:color w:val="auto"/>
        </w:rPr>
      </w:pPr>
      <w:r>
        <w:rPr>
          <w:rFonts w:ascii="Times New Roman" w:cs="Times New Roman" w:eastAsia="Times New Roman" w:hAnsi="Times New Roman"/>
          <w:sz w:val="17"/>
          <w:szCs w:val="17"/>
          <w:color w:val="848A8E"/>
        </w:rPr>
        <w:drawing>
          <wp:anchor simplePos="0" relativeHeight="251657728" behindDoc="1" locked="0" layoutInCell="0" allowOverlap="1">
            <wp:simplePos x="0" y="0"/>
            <wp:positionH relativeFrom="page">
              <wp:posOffset>208280</wp:posOffset>
            </wp:positionH>
            <wp:positionV relativeFrom="page">
              <wp:posOffset>157480</wp:posOffset>
            </wp:positionV>
            <wp:extent cx="170561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377190"/>
                    </a:xfrm>
                    <a:prstGeom prst="rect">
                      <a:avLst/>
                    </a:prstGeom>
                    <a:noFill/>
                  </pic:spPr>
                </pic:pic>
              </a:graphicData>
            </a:graphic>
          </wp:anchor>
        </w:drawing>
        <w:t>Goodwin Procter LLP</w:t>
      </w:r>
    </w:p>
    <w:p>
      <w:pPr>
        <w:spacing w:after="0" w:line="39"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8"/>
          <w:szCs w:val="18"/>
          <w:color w:val="848A8E"/>
        </w:rPr>
        <w:t>100 Northern Avenue</w:t>
      </w:r>
    </w:p>
    <w:p>
      <w:pPr>
        <w:spacing w:after="0" w:line="9"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8"/>
          <w:szCs w:val="18"/>
          <w:color w:val="848A8E"/>
        </w:rPr>
        <w:t>Boston, MA 02210</w:t>
      </w:r>
    </w:p>
    <w:p>
      <w:pPr>
        <w:spacing w:after="0" w:line="382"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8"/>
          <w:szCs w:val="18"/>
          <w:color w:val="848A8E"/>
        </w:rPr>
        <w:t>goodwinlaw.com</w:t>
      </w:r>
    </w:p>
    <w:p>
      <w:pPr>
        <w:spacing w:after="0" w:line="27"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8"/>
          <w:szCs w:val="18"/>
          <w:color w:val="848A8E"/>
        </w:rPr>
        <w:t>+1 617 570 1000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31,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Courtney Lindsay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Mary Beth Breslin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337"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Report on Form 8-K</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June 23, 2020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000-55939</w:t>
      </w:r>
    </w:p>
    <w:p>
      <w:pPr>
        <w:spacing w:after="0" w:line="200" w:lineRule="exact"/>
        <w:rPr>
          <w:sz w:val="24"/>
          <w:szCs w:val="24"/>
          <w:color w:val="auto"/>
        </w:rPr>
      </w:pPr>
    </w:p>
    <w:p>
      <w:pPr>
        <w:sectPr>
          <w:pgSz w:w="11900" w:h="16838" w:orient="portrait"/>
          <w:cols w:equalWidth="0" w:num="2">
            <w:col w:w="920" w:space="380"/>
            <w:col w:w="9940"/>
          </w:cols>
          <w:pgMar w:left="320" w:top="337"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Lindsay and Ms. Breslin:</w:t>
      </w:r>
    </w:p>
    <w:p>
      <w:pPr>
        <w:spacing w:after="0" w:line="221"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letter is submitted on behalf of Compass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response to comments of the staff of the Division of Corporation Finance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with respect to the Company’s Current Report on Form 8-K filed on June 23, 2020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as set forth in the Staff’s letter dated July 16, 2020 to Thomas J. Schuetz, M.D., Ph.D., Chief Executive Officer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The Company is concurrently filing an amended Current Report on Form 8-K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which includes changes to reflect responses to the Staff’s comments and other updates.</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reference purposes, the text of the Comment Letter has been reproduced and italicized herein with responses below each numbered comment. Unless otherwise indicated, page references in the descriptions of the Staff’s comments refer to the Current Report, and page references in the responses refer to the Amendment. All capitalized terms used and not otherwise defined herein shall have the meanings set forth in the Amendment.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filed June 23,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 page 9</w:t>
      </w:r>
    </w:p>
    <w:p>
      <w:pPr>
        <w:spacing w:after="0" w:line="223" w:lineRule="exact"/>
        <w:rPr>
          <w:sz w:val="24"/>
          <w:szCs w:val="24"/>
          <w:color w:val="auto"/>
        </w:rPr>
      </w:pPr>
    </w:p>
    <w:p>
      <w:pPr>
        <w:jc w:val="both"/>
        <w:ind w:firstLine="656"/>
        <w:spacing w:after="0" w:line="267" w:lineRule="auto"/>
        <w:tabs>
          <w:tab w:leader="none" w:pos="1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Throughout this section, please remove all statements that reference efficacy and safety, including synonyms and similar terms (e.g., “robust” and “potent cytotoxic activity”), as safety and efficacy determinations are solely within the authority of the Food and Drug Administration or other regulatory agencies.</w:t>
      </w:r>
    </w:p>
    <w:p>
      <w:pPr>
        <w:spacing w:after="0" w:line="17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Response to Comment No. 1. The Company respectfully advises the Staff that it has revised the disclosure on pages 2, 3, 4, 5, 6, 10, 11, 14, 15, 17, 18, 20 and 21 of the Amendment in response to the Staff’s comment in order to remove references that indicate a safety or efficacy determination with respect to the Company’s product candidates.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Mr. Courtney Lindsay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Mary Beth Breslin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page 9</w:t>
      </w:r>
    </w:p>
    <w:p>
      <w:pPr>
        <w:spacing w:after="0" w:line="223" w:lineRule="exact"/>
        <w:rPr>
          <w:sz w:val="20"/>
          <w:szCs w:val="20"/>
          <w:color w:val="auto"/>
        </w:rPr>
      </w:pPr>
    </w:p>
    <w:p>
      <w:pPr>
        <w:jc w:val="both"/>
        <w:ind w:firstLine="656"/>
        <w:spacing w:after="0" w:line="267" w:lineRule="auto"/>
        <w:tabs>
          <w:tab w:leader="none" w:pos="175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state that you “plan to rapidly advance [your] product candidates through clinical development.” Please revise your disclosure here and throughout your filing to remove any implication that you will be successful in commercializing your product candidates in a rapid or accelerated manner, as such statements are speculative.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Response to Comment No. 2. The Company respectfully advises the Staff that it has revised the disclosure on pages 2, 4, 24 and 88 of the Amendment in response to the Staff’s comment in order to remove statements that imply the successful commercialization of the Company’s product candidates in a rapid or accelerated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Pipeline, page 11</w:t>
      </w:r>
    </w:p>
    <w:p>
      <w:pPr>
        <w:spacing w:after="0" w:line="223" w:lineRule="exact"/>
        <w:rPr>
          <w:sz w:val="20"/>
          <w:szCs w:val="20"/>
          <w:color w:val="auto"/>
        </w:rPr>
      </w:pPr>
    </w:p>
    <w:p>
      <w:pPr>
        <w:ind w:right="20" w:firstLine="656"/>
        <w:spacing w:after="0" w:line="284" w:lineRule="auto"/>
        <w:tabs>
          <w:tab w:leader="none" w:pos="1768"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the chart on page 11 to clarify the term “TAA” and provide a brief narrative below of what this line in the chart is depicting. Please also include the specific indication(s) for which your product candidates are being developed.</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Response to Comment No. 3. The Company respectfully advises the Staff that it has revised the disclosure on page 4 of the Amendment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 1. We have assembled a panel of proprietary antibodies against a broad panel of key immune targets, page 13</w:t>
      </w:r>
    </w:p>
    <w:p>
      <w:pPr>
        <w:spacing w:after="0" w:line="223" w:lineRule="exact"/>
        <w:rPr>
          <w:sz w:val="20"/>
          <w:szCs w:val="20"/>
          <w:color w:val="auto"/>
        </w:rPr>
      </w:pPr>
    </w:p>
    <w:p>
      <w:pPr>
        <w:ind w:left="1600" w:hanging="944"/>
        <w:spacing w:after="0"/>
        <w:tabs>
          <w:tab w:leader="none" w:pos="16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a brief narrative of what your graphic is depicting.</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Response to Comment No. 4. The Company respectfully advises the Staff that it has revised the disclosure on page 6 of the Amendment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Phase 1 clinical trial data as of May 24, 2020, page 20</w:t>
      </w:r>
    </w:p>
    <w:p>
      <w:pPr>
        <w:spacing w:after="0" w:line="223" w:lineRule="exact"/>
        <w:rPr>
          <w:sz w:val="20"/>
          <w:szCs w:val="20"/>
          <w:color w:val="auto"/>
        </w:rPr>
      </w:pPr>
    </w:p>
    <w:p>
      <w:pPr>
        <w:jc w:val="both"/>
        <w:ind w:firstLine="656"/>
        <w:spacing w:after="0" w:line="267" w:lineRule="auto"/>
        <w:tabs>
          <w:tab w:leader="none" w:pos="183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that the ongoing Phase 1 trial of CTX-471 was designed to evaluate the safety and tolerability of your product candidate, but it appears that you are presenting efficacy data from this trial on page 21. Please revise to remove the statements regarding efficacy if it is not being measured in the current trial, or revise to clarify the current trial phase and disclose the efficacy endpoints of the trial.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Response to Comment No. 5. The Company respectfully advises the Staff that it has revised the disclosure on pages 12 and 13 of the Amendment in response to the Staff’s comment. The Company supplementally advises the Staff that while the primary objective of the ongoing Phase 1 clinical trial of CTX-471 is to evaluate safety and tolerability, the Company is also collecting efficacy data, including to inform its future development plans for this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Mr. Courtney Lindsay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Mary Beth Breslin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 page 29</w:t>
      </w:r>
    </w:p>
    <w:p>
      <w:pPr>
        <w:spacing w:after="0" w:line="223" w:lineRule="exact"/>
        <w:rPr>
          <w:sz w:val="20"/>
          <w:szCs w:val="20"/>
          <w:color w:val="auto"/>
        </w:rPr>
      </w:pPr>
    </w:p>
    <w:p>
      <w:pPr>
        <w:ind w:firstLine="656"/>
        <w:spacing w:after="0" w:line="284" w:lineRule="auto"/>
        <w:tabs>
          <w:tab w:leader="none" w:pos="176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that you have additional milestone payments due under your collaboration agreement and quantify the aggregate potential milestone payments due.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Response to Comment No. 6. The Company supplementally advises the Staff that the total aggregate milestone payments that may be made under this license agreement amount to $3.5 million. The Company respectfully advises the Staff that it has revised the disclosure on page 22 of the Amendment in response to the Staff’s comment to clarify that such dollar figure represents the total aggregate milestone payments that may be due under the agreement, of which $1.5 million has been previously paid and an additional $2.0 million may be payable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 Overview, page 99</w:t>
      </w:r>
    </w:p>
    <w:p>
      <w:pPr>
        <w:spacing w:after="0" w:line="223" w:lineRule="exact"/>
        <w:rPr>
          <w:sz w:val="20"/>
          <w:szCs w:val="20"/>
          <w:color w:val="auto"/>
        </w:rPr>
      </w:pPr>
    </w:p>
    <w:p>
      <w:pPr>
        <w:ind w:firstLine="656"/>
        <w:spacing w:after="0" w:line="284" w:lineRule="auto"/>
        <w:tabs>
          <w:tab w:leader="none" w:pos="1647"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 will need substantial additional funding to support your continuing operations and pursue your growth strategy. Please disclose how far in the development of your product candidates you expect to reach with your current capital resources.</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Response to Comment No. 7. The Company respectfully advises the Staff that it has revised the disclosure on page 99 of the Amendment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104</w:t>
      </w:r>
    </w:p>
    <w:p>
      <w:pPr>
        <w:spacing w:after="0" w:line="223" w:lineRule="exact"/>
        <w:rPr>
          <w:sz w:val="20"/>
          <w:szCs w:val="20"/>
          <w:color w:val="auto"/>
        </w:rPr>
      </w:pPr>
    </w:p>
    <w:p>
      <w:pPr>
        <w:ind w:firstLine="656"/>
        <w:spacing w:after="0" w:line="284" w:lineRule="auto"/>
        <w:tabs>
          <w:tab w:leader="none" w:pos="168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have multiple products in varying stages of development and clinical testing. Please revise to disclose more detail for your research and development expenses each period presented, including but not limited to by product candidate and the nature of the expenses.</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Response to Comment No. 8. The Company respectfully advises the Staff that it has revised the disclosure on page 95 of the Amendment in response to the Staff’s comment.</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you have any further comments or questions with regard to the foregoing, please contact the undersigned at (617) 570-1483.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Xu, Esq.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3" w:lineRule="exact"/>
        <w:rPr>
          <w:sz w:val="20"/>
          <w:szCs w:val="20"/>
          <w:color w:val="auto"/>
        </w:rPr>
      </w:pPr>
    </w:p>
    <w:p>
      <w:pPr>
        <w:ind w:right="4740" w:firstLine="8"/>
        <w:spacing w:after="0" w:line="26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Thomas J. Schuetz, M.D., Ph.D., Chief Executive Officer, </w:t>
      </w:r>
      <w:r>
        <w:rPr>
          <w:rFonts w:ascii="Times New Roman" w:cs="Times New Roman" w:eastAsia="Times New Roman" w:hAnsi="Times New Roman"/>
          <w:sz w:val="18"/>
          <w:szCs w:val="18"/>
          <w:i w:val="1"/>
          <w:iCs w:val="1"/>
          <w:color w:val="auto"/>
        </w:rPr>
        <w:t>Compass Therapeutics, Inc.</w:t>
      </w:r>
      <w:r>
        <w:rPr>
          <w:rFonts w:ascii="Times New Roman" w:cs="Times New Roman" w:eastAsia="Times New Roman" w:hAnsi="Times New Roman"/>
          <w:sz w:val="18"/>
          <w:szCs w:val="18"/>
          <w:color w:val="auto"/>
        </w:rPr>
        <w:t xml:space="preserve"> Vered Bisker-Lieb, Ph.D., MBA, Chief Operating Officer, </w:t>
      </w:r>
      <w:r>
        <w:rPr>
          <w:rFonts w:ascii="Times New Roman" w:cs="Times New Roman" w:eastAsia="Times New Roman" w:hAnsi="Times New Roman"/>
          <w:sz w:val="18"/>
          <w:szCs w:val="18"/>
          <w:i w:val="1"/>
          <w:iCs w:val="1"/>
          <w:color w:val="auto"/>
        </w:rPr>
        <w:t>Compass Therapeutics, Inc.</w:t>
      </w:r>
      <w:r>
        <w:rPr>
          <w:rFonts w:ascii="Times New Roman" w:cs="Times New Roman" w:eastAsia="Times New Roman" w:hAnsi="Times New Roman"/>
          <w:sz w:val="18"/>
          <w:szCs w:val="18"/>
          <w:color w:val="auto"/>
        </w:rPr>
        <w:t xml:space="preserve"> Sarah Ashfaq, Esq., </w:t>
      </w:r>
      <w:r>
        <w:rPr>
          <w:rFonts w:ascii="Times New Roman" w:cs="Times New Roman" w:eastAsia="Times New Roman" w:hAnsi="Times New Roman"/>
          <w:sz w:val="18"/>
          <w:szCs w:val="18"/>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2020-09-09T23:10:55Z</dcterms:created>
  <dcterms:modified xsi:type="dcterms:W3CDTF">2020-09-09T23:10:55Z</dcterms:modified>
</cp:coreProperties>
</file>